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5C053CA" Type="http://schemas.openxmlformats.org/officeDocument/2006/relationships/officeDocument" Target="/word/document.xml" /><Relationship Id="coreR45C053C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8800</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Artículo Nº 32 de la Carta Orgánica Municipal, la situación que plantean las nutricionistas del Municipio a raíz de la detección de numerosos casos de obesidad infantil, y la Ley Nacional Nº 26396; y</w:t>
      </w: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tabs>
          <w:tab w:val="left" w:pos="2824" w:leader="none"/>
        </w:tabs>
      </w:pPr>
      <w:r>
        <w:tab/>
      </w:r>
    </w:p>
    <w:p>
      <w:pPr>
        <w:pStyle w:val="P11"/>
        <w:ind w:left="426"/>
      </w:pPr>
      <w:r>
        <w:t>Que la temática de la nutrición es de una gran importancia para el cuidado de la salud de las personas;</w:t>
      </w:r>
    </w:p>
    <w:p>
      <w:pPr>
        <w:pStyle w:val="P11"/>
        <w:ind w:left="426"/>
      </w:pPr>
    </w:p>
    <w:p>
      <w:pPr>
        <w:pStyle w:val="P11"/>
        <w:ind w:left="426"/>
      </w:pPr>
      <w:r>
        <w:t xml:space="preserve">Que el Municipio cuenta con un “Programa Municipal de Atención a la Desnutrición y Bajo Peso”, institucionalizado mediante Ordenanza Nº 6930, en el cual se contempla su implementación para los niños desde su concepción hasta los quince años  y para las mujeres embarazadas, el seguimiento mensual del estado evolutivo de los participantes, y la afectación presupuestaria respectiva;</w:t>
      </w:r>
    </w:p>
    <w:p>
      <w:pPr>
        <w:pStyle w:val="P11"/>
        <w:ind w:left="426"/>
      </w:pPr>
    </w:p>
    <w:p>
      <w:pPr>
        <w:pStyle w:val="P11"/>
        <w:ind w:left="426"/>
      </w:pPr>
      <w:r>
        <w:t>Que el equipo de salud del Municipio difundió en los medios locales, a raíz de la presentación de las conclusiones de sus trabajos al Departamento Ejecutivo, que dos de cada diez niños presentarían problemas de sobrepeso: 14,5% riesgo de exceso de peso y 10,6% de obesidad (Resumen 06 de Agosto de 2009; Nuevo Sumario 07 de Agosto de 2009);</w:t>
      </w:r>
    </w:p>
    <w:p>
      <w:pPr>
        <w:pStyle w:val="P11"/>
        <w:ind w:left="426"/>
      </w:pPr>
    </w:p>
    <w:p>
      <w:pPr>
        <w:pStyle w:val="P11"/>
        <w:ind w:left="426"/>
      </w:pPr>
      <w:r>
        <w:t>Que es necesario desarrollar políticas que procuren soluciones a estas problemáticas a corto, mediano y largo plazo;</w:t>
      </w:r>
    </w:p>
    <w:p>
      <w:pPr>
        <w:pStyle w:val="P11"/>
        <w:tabs>
          <w:tab w:val="left" w:pos="7371" w:leader="none"/>
        </w:tabs>
        <w:ind w:left="426"/>
      </w:pPr>
    </w:p>
    <w:p>
      <w:pPr>
        <w:pStyle w:val="P11"/>
        <w:tabs>
          <w:tab w:val="left" w:pos="7371" w:leader="none"/>
        </w:tabs>
        <w:ind w:left="426"/>
        <w:jc w:val="right"/>
      </w:pPr>
      <w:r>
        <w:t>...///</w:t>
      </w:r>
    </w:p>
    <w:p>
      <w:pPr>
        <w:pStyle w:val="P11"/>
        <w:tabs>
          <w:tab w:val="left" w:pos="7371" w:leader="none"/>
        </w:tabs>
        <w:ind w:left="426"/>
        <w:jc w:val="right"/>
      </w:pPr>
    </w:p>
    <w:p>
      <w:pPr>
        <w:pStyle w:val="P11"/>
        <w:tabs>
          <w:tab w:val="left" w:pos="7371" w:leader="none"/>
        </w:tabs>
        <w:ind w:left="426"/>
        <w:jc w:val="right"/>
      </w:pPr>
    </w:p>
    <w:p>
      <w:pPr>
        <w:pStyle w:val="P11"/>
        <w:tabs>
          <w:tab w:val="left" w:pos="7371" w:leader="none"/>
        </w:tabs>
        <w:ind w:left="426"/>
        <w:jc w:val="right"/>
      </w:pPr>
    </w:p>
    <w:p>
      <w:pPr>
        <w:pStyle w:val="P11"/>
        <w:tabs>
          <w:tab w:val="left" w:pos="7371" w:leader="none"/>
        </w:tabs>
        <w:ind w:left="426"/>
        <w:jc w:val="right"/>
      </w:pPr>
    </w:p>
    <w:p>
      <w:pPr>
        <w:pStyle w:val="P11"/>
        <w:tabs>
          <w:tab w:val="left" w:pos="7371" w:leader="none"/>
        </w:tabs>
        <w:ind w:left="426"/>
        <w:jc w:val="right"/>
      </w:pPr>
    </w:p>
    <w:p>
      <w:pPr>
        <w:pStyle w:val="P11"/>
        <w:tabs>
          <w:tab w:val="left" w:pos="7371" w:leader="none"/>
        </w:tabs>
        <w:ind w:left="426"/>
        <w:jc w:val="right"/>
      </w:pPr>
    </w:p>
    <w:p>
      <w:pPr>
        <w:pStyle w:val="P11"/>
        <w:tabs>
          <w:tab w:val="left" w:pos="7371" w:leader="none"/>
        </w:tabs>
        <w:ind w:left="426"/>
        <w:jc w:val="right"/>
      </w:pPr>
    </w:p>
    <w:p>
      <w:pPr>
        <w:pStyle w:val="P11"/>
        <w:tabs>
          <w:tab w:val="left" w:pos="7371" w:leader="none"/>
        </w:tabs>
        <w:ind w:left="426"/>
        <w:jc w:val="right"/>
      </w:pPr>
    </w:p>
    <w:p>
      <w:pPr>
        <w:pStyle w:val="P11"/>
        <w:tabs>
          <w:tab w:val="left" w:pos="7371" w:leader="none"/>
        </w:tabs>
        <w:ind w:left="426"/>
        <w:jc w:val="right"/>
      </w:pPr>
    </w:p>
    <w:p>
      <w:pPr>
        <w:pStyle w:val="P11"/>
        <w:tabs>
          <w:tab w:val="left" w:pos="7371" w:leader="none"/>
        </w:tabs>
        <w:ind w:left="426"/>
        <w:jc w:val="right"/>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tabs>
          <w:tab w:val="left" w:pos="7371" w:leader="none"/>
        </w:tabs>
        <w:ind w:left="426"/>
        <w:jc w:val="left"/>
        <w:rPr>
          <w:rStyle w:val="C3"/>
        </w:rPr>
      </w:pPr>
    </w:p>
    <w:p>
      <w:pPr>
        <w:pStyle w:val="P11"/>
        <w:tabs>
          <w:tab w:val="left" w:pos="7371" w:leader="none"/>
        </w:tabs>
        <w:jc w:val="left"/>
      </w:pPr>
      <w:r>
        <w:t>...///2.-</w:t>
      </w:r>
    </w:p>
    <w:p>
      <w:pPr>
        <w:pStyle w:val="P11"/>
        <w:tabs>
          <w:tab w:val="left" w:pos="7371" w:leader="none"/>
        </w:tabs>
        <w:ind w:left="426"/>
      </w:pPr>
    </w:p>
    <w:p>
      <w:pPr>
        <w:pStyle w:val="P11"/>
        <w:tabs>
          <w:tab w:val="left" w:pos="7371" w:leader="none"/>
        </w:tabs>
        <w:ind w:left="426"/>
      </w:pPr>
      <w:r>
        <w:t>Que consideramos que las políticas orientadas a la problemática del sobrepeso, no deben excluir el desarrollo de otras orientadas a la problemática del bajo peso, lo cual es indispensable, debido a que esta problemática, en los primeros años de vida, genera consecuencias que son irreversibles;</w:t>
      </w:r>
    </w:p>
    <w:p>
      <w:pPr>
        <w:pStyle w:val="P11"/>
        <w:tabs>
          <w:tab w:val="left" w:pos="7371" w:leader="none"/>
        </w:tabs>
        <w:ind w:left="426"/>
      </w:pPr>
    </w:p>
    <w:p>
      <w:pPr>
        <w:pStyle w:val="P11"/>
        <w:tabs>
          <w:tab w:val="left" w:pos="7371" w:leader="none"/>
        </w:tabs>
        <w:ind w:left="426"/>
      </w:pPr>
      <w:r>
        <w:t>Que un programa cuyo objetivo sea el de educar, contribuiría a ambas problemáticas;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presente iniciativa tiene por objeto generar estrategias para promover una alimentación saludable, y crear conciencia sobre las múltiples consecuencias para la salud que devienen de la obesidad y las numerosas patologías que se proceden de la misma, así como coordinar y planificar acciones tendientes a la disminución y erradicación de esta enfermedad;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como se manifiesta en el Informe del equipo de nutrición del Municipio, referido al impacto de las medidas planteadas, </w:t>
      </w:r>
      <w:r>
        <w:rPr>
          <w:rStyle w:val="C3"/>
          <w:rFonts w:ascii="Courier New" w:hAnsi="Courier New"/>
          <w:i w:val="1"/>
        </w:rPr>
        <w:t>“resulta más fácil promover la adquisición de hábitos alimentarios y estilos de vida más saludables durante la etapa infantil, que modificar ámbitos estructurados durante la vida adulta”</w:t>
      </w: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obesidad es uno de los problemas más frecuentes de la salud pública y la Organización Mundial de la Salud la ha definido como la “epidemia metabólica del siglo XX”. Es una enfermedad crónica mundial de alto costo, que disminuye las expectativas y calidad de vida de la población de todas las edades y que afecta al individuo repercutiendo sobre la familia, la comunidad y la sociedad en su conjunto. Consiste en el aumento de peso, debido al incremento de la grasa corporal;</w:t>
      </w:r>
    </w:p>
    <w:p>
      <w:pPr>
        <w:ind w:left="426"/>
        <w:jc w:val="right"/>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1"/>
        <w:tabs>
          <w:tab w:val="left" w:pos="7371" w:leader="none"/>
        </w:tabs>
        <w:ind w:left="426"/>
        <w:jc w:val="right"/>
        <w:rPr>
          <w:rStyle w:val="C3"/>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tabs>
          <w:tab w:val="left" w:pos="7371" w:leader="none"/>
        </w:tabs>
        <w:ind w:left="426"/>
        <w:jc w:val="left"/>
        <w:rPr>
          <w:rStyle w:val="C3"/>
        </w:rPr>
      </w:pPr>
    </w:p>
    <w:p>
      <w:pPr>
        <w:pStyle w:val="P11"/>
        <w:tabs>
          <w:tab w:val="left" w:pos="7371" w:leader="none"/>
        </w:tabs>
        <w:jc w:val="left"/>
      </w:pPr>
      <w:r>
        <w:t>...///3.-</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w:t>
      </w:r>
      <w:r>
        <w:rPr>
          <w:rStyle w:val="C3"/>
          <w:rFonts w:ascii="Courier New" w:hAnsi="Courier New"/>
          <w:i w:val="1"/>
        </w:rPr>
        <w:t xml:space="preserve">“la obesidad comienza en etapas tempranas y se arrastra a la adolescencia y adultez con serio impacto en la salud infantil y futura” </w:t>
      </w:r>
      <w:r>
        <w:rPr>
          <w:rStyle w:val="C3"/>
          <w:rFonts w:ascii="Courier New" w:hAnsi="Courier New"/>
        </w:rPr>
        <w:t>(Informe del equipo de nutrición del Municipio);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los mayores desencadenantes de la obesidad son la alimentación inadecuada y la disminución de la actividad física. Constituye el factor subyacente más importante de las causas de enfermedad y muerte en el hemisferio, y, en virtud de ello, la Organización Mundial de la Salud ha instado a todos los gobiernos a reconocerla como enfermedad, implementar programas de detección, educación, prevención y tratamiento, modificar los factores de riesgos ambientales, incorporarla al listado de enfermedades de tratamiento prioritario y obligatorio por los sistemas de salud, fomentar la capacitación de los profesionales de la salud para la prevención y el control integral de la misma, estimular la investigación básica, epidemiológica y clínica, y concientizar a la población de una acción conjunta a todos los niveles y desde todos los sectores de la sociedad;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incremento de esta enfermedad está asociado a profundos cambios sociales que han ocurrido en el mundo en las últimas décadas;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lo que se torna alarmante, es la incidencia que tiene la obesidad en la población infantil y adolescente. En la Argentina, el sobrepeso y la obesidad afectan al 9,2% de los menores de entre SEIS (6) meses y CINCO (5) años inclusive, según revelo la primera Encuesta Nacional sobre Nutrición y Salud realizada por el Ministerio de Salud y Ambiente de la Nación entre Octubre de 2004 y Julio de 2005;</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tabs>
          <w:tab w:val="left" w:pos="7371" w:leader="none"/>
        </w:tabs>
        <w:ind w:left="426"/>
        <w:jc w:val="left"/>
        <w:rPr>
          <w:rStyle w:val="C3"/>
        </w:rPr>
      </w:pPr>
    </w:p>
    <w:p>
      <w:pPr>
        <w:pStyle w:val="P11"/>
        <w:tabs>
          <w:tab w:val="left" w:pos="7371" w:leader="none"/>
        </w:tabs>
        <w:jc w:val="left"/>
      </w:pPr>
      <w:r>
        <w:t>...///4.-</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en la Encuesta Nacional sobre Nutrición y Salud realizada por el Ministerio de Salud y Ambiente de la Nación en el año 2007, se </w:t>
      </w:r>
      <w:r>
        <w:rPr>
          <w:rStyle w:val="C3"/>
          <w:rFonts w:ascii="Courier New" w:hAnsi="Courier New"/>
          <w:i w:val="1"/>
        </w:rPr>
        <w:t xml:space="preserve">“da cuenta de un patrón común en términos de los principales problemas nutricionales en la población infantil; baja prevalencia de desnutrición aguda, moderada prevalencia de retardo del crecimiento lineal, prevalencia creciente de sobrepeso y obesidad y deficiencias de micronutrientes” </w:t>
      </w:r>
      <w:r>
        <w:rPr>
          <w:rStyle w:val="C3"/>
          <w:rFonts w:ascii="Courier New" w:hAnsi="Courier New"/>
        </w:rPr>
        <w:t>(Informe del equipo de nutrición del Municipio);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si bien esta Ordenanza se orienta a la creación de un programa a desarrollarse en los establecimientos educativos, su implementación no debe, de ninguna manera, excluir la atención de los menores de 5 años y adultos;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los resultados positivos a largo plazo dependen de realizar actividades en todos los sectores sociales, abarcando a su vez la promoción, prevención, diagnóstico, tratamiento, recuperación y seguimiento de los pacientes o participantes;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en nuestro país, donde conviven situaciones de sobrepeso y obesidad con cuadros de desnutrición crónica, no podemos darnos el lujo de llegar a situaciones extremas, como es el caso de Estados Unidos, donde el sobrepeso en los niños y adolescentes llega al 31% de la población. La explicación de este problema de salud pública que también comienza a visualizarse no es simple y responde a que nuestro país está siendo influenciado por el cambio de hábitos y de valores en el seno de las familias. Así, los chicos hacen hoy menos actividad   física   y   juegan  menos  al  aire  libre, </w:t>
      </w:r>
    </w:p>
    <w:p>
      <w:pPr>
        <w:ind w:left="426"/>
        <w:jc w:val="right"/>
        <w:rPr>
          <w:rStyle w:val="C3"/>
          <w:rFonts w:ascii="Courier New" w:hAnsi="Courier New"/>
        </w:rPr>
      </w:pPr>
      <w:r>
        <w:rPr>
          <w:rStyle w:val="C3"/>
          <w:rFonts w:ascii="Courier New" w:hAnsi="Courier New"/>
        </w:rPr>
        <w:t>...///</w:t>
      </w: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tabs>
          <w:tab w:val="left" w:pos="7371" w:leader="none"/>
        </w:tabs>
        <w:ind w:left="426"/>
        <w:jc w:val="left"/>
        <w:rPr>
          <w:rStyle w:val="C3"/>
        </w:rPr>
      </w:pPr>
    </w:p>
    <w:p>
      <w:pPr>
        <w:pStyle w:val="P11"/>
        <w:tabs>
          <w:tab w:val="left" w:pos="7371" w:leader="none"/>
        </w:tabs>
        <w:jc w:val="left"/>
      </w:pPr>
      <w:r>
        <w:t>...///5.-</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prefiriendo actividades sedentarias. Comen más embutidos, papas fritas, golosinas, y toman más gaseosas, por lo que la ingesta de calorías es superior al gasto energético;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ha incrementado la oferta de alimentos de alto contenido en azúcares y grasas, con menor valor nutritivo: golosinas, snack, jugos artificiales con alto contenido en azúcares y saborizantes todo lo cual, favorece esta problemática;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muchos de esos alimentos llegan a manos de los niños en las escuelas;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nuestra Ciudad; los porcentajes de riesgo de sobrepeso y de obesidad, respectivamente, ascienden a 4, 6% y 6,6% en los niños de 1 a 5 años; y 14,5% y 10,6% en los de 6 a 12 años (Informe del equipo de nutrición del Municipio);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el perfil de consumo alimentario que elaboró el equipo nutricional del Municipio, se evidencian los malos hábitos alimentarios que deben ser revertidos, promoviendo una alimentación que otorgue los elementos necesarios para una vida sana;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se menciona, por ejemplo, que el 80% de los niños supera las porciones recomendadas de pan. El 50% nunca consume legumbres. Menos del 30% consume diariamente vegetales tipo A/B. Sólo el 42% consume diariamente leche y yogurth. El 66% consume carnes y huevo (el 50% por encima de las porciones recomendadas para su edad). Y, por último, el 60% consume alimentos obesogénicos por </w:t>
      </w:r>
    </w:p>
    <w:p>
      <w:pPr>
        <w:ind w:left="426"/>
        <w:jc w:val="right"/>
        <w:rPr>
          <w:rStyle w:val="C3"/>
          <w:rFonts w:ascii="Courier New" w:hAnsi="Courier New"/>
        </w:rPr>
      </w:pPr>
      <w:r>
        <w:rPr>
          <w:rStyle w:val="C3"/>
          <w:rFonts w:ascii="Courier New" w:hAnsi="Courier New"/>
        </w:rPr>
        <w:t>...///</w:t>
      </w: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tabs>
          <w:tab w:val="left" w:pos="7371" w:leader="none"/>
        </w:tabs>
        <w:ind w:left="426"/>
        <w:jc w:val="left"/>
        <w:rPr>
          <w:rStyle w:val="C3"/>
        </w:rPr>
      </w:pPr>
    </w:p>
    <w:p>
      <w:pPr>
        <w:pStyle w:val="P11"/>
        <w:tabs>
          <w:tab w:val="left" w:pos="7371" w:leader="none"/>
        </w:tabs>
        <w:jc w:val="left"/>
      </w:pPr>
      <w:r>
        <w:t>...///6.-</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encima de las recomendaciones. Entre estos alimentos los más frecuentes son las gaseosas, golosinas, facturas y criollos (Informe del equipo de nutrición del Municipio);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para evitar que los chicos se den atracones de calorías vacías durante los recreos, es que proponemos que se limite en los establecimientos educativos del Municipio, la venta de aquellos productos que se consideran desfavorables para ser incluidos en la dieta de los menores, aspirando a que en el kiosco del colegio se vendan alimentos saludables, tales como yoghurts, barras de cereal, frutas secas, turrones de maní, alfajores de maicena, vainillas, bay biscuit o paquetes de pochoclos, entre otros. La propuesta de erradicar la comida chatarra de los colegios no es nueva. Países como España, Francia y Estados Unidos fueron pioneros en reemplazar golosinas y snack que dispensan las maquinas expendedoras de los colegios por alimentos saludables, en la lucha por prevenir la obesidad infantil;</w:t>
      </w:r>
    </w:p>
    <w:p>
      <w:pPr>
        <w:pStyle w:val="P16"/>
        <w:ind w:left="426"/>
        <w:jc w:val="both"/>
        <w:rPr>
          <w:rStyle w:val="C3"/>
          <w:rFonts w:ascii="Courier New" w:hAnsi="Courier New"/>
          <w:b w:val="1"/>
          <w:sz w:val="24"/>
        </w:rPr>
      </w:pPr>
    </w:p>
    <w:p>
      <w:pPr>
        <w:pStyle w:val="P16"/>
        <w:ind w:left="426"/>
        <w:jc w:val="both"/>
        <w:rPr>
          <w:rStyle w:val="C3"/>
          <w:rFonts w:ascii="Courier New" w:hAnsi="Courier New"/>
          <w:b w:val="1"/>
          <w:sz w:val="24"/>
        </w:rPr>
      </w:pPr>
      <w:r>
        <w:rPr>
          <w:rStyle w:val="C3"/>
          <w:rFonts w:ascii="Courier New" w:hAnsi="Courier New"/>
          <w:b w:val="0"/>
          <w:sz w:val="24"/>
        </w:rPr>
        <w:t>Que, cabe destacar que la problemática también tiene fuerte impacto económico que gravita sensiblemente en los costos de salud, que debemos afrontar como sociedad, lo cual refuerza la necesidad de enfrentar la problemática con una visión estratégica de futuro. En este sentido, los programas preventivos y las campañas que apuntan a la corrección de hábitos y costumbres para una vida más sana, que puedan ser desarrollados, no sólo resultarán muy valorables sino que se terminan financiando por sí mismos sobre la base del ahorro futuro que han de generar;</w:t>
      </w:r>
    </w:p>
    <w:p>
      <w:pPr>
        <w:pStyle w:val="P11"/>
        <w:ind w:left="426"/>
        <w:rPr>
          <w:rStyle w:val="C3"/>
        </w:rPr>
      </w:pPr>
    </w:p>
    <w:p>
      <w:pPr>
        <w:ind w:left="426"/>
        <w:jc w:val="right"/>
        <w:rPr>
          <w:rStyle w:val="C3"/>
          <w:rFonts w:ascii="Courier New" w:hAnsi="Courier New"/>
        </w:rPr>
      </w:pPr>
      <w:r>
        <w:rPr>
          <w:rStyle w:val="C3"/>
          <w:rFonts w:ascii="Courier New" w:hAnsi="Courier New"/>
        </w:rPr>
        <w:t>...///</w:t>
      </w: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tabs>
          <w:tab w:val="left" w:pos="7371" w:leader="none"/>
        </w:tabs>
        <w:ind w:left="426"/>
        <w:jc w:val="left"/>
        <w:rPr>
          <w:rStyle w:val="C3"/>
        </w:rPr>
      </w:pPr>
    </w:p>
    <w:p>
      <w:pPr>
        <w:pStyle w:val="P11"/>
        <w:tabs>
          <w:tab w:val="left" w:pos="7371" w:leader="none"/>
        </w:tabs>
        <w:jc w:val="left"/>
      </w:pPr>
      <w:r>
        <w:t>...///7.-</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de referencia por la totalidad de los Concejales Presentes, se resuelve su aprobación por unanimidad en Sesión Extraordinaria del día 07 de Diciembre de 2010.-</w:t>
      </w:r>
    </w:p>
    <w:p>
      <w:pPr>
        <w:pStyle w:val="P11"/>
        <w:jc w:val="right"/>
        <w:rPr>
          <w:rStyle w:val="C3"/>
        </w:rPr>
      </w:pPr>
    </w:p>
    <w:p>
      <w:pPr>
        <w:pStyle w:val="P11"/>
        <w:jc w:val="right"/>
        <w:rPr>
          <w:rStyle w:val="C3"/>
        </w:rPr>
      </w:pPr>
    </w:p>
    <w:p>
      <w:pPr>
        <w:pStyle w:val="P11"/>
        <w:jc w:val="lef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4"/>
        <w:rPr>
          <w:rStyle w:val="C3"/>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LA</w:t>
      </w:r>
      <w:r>
        <w:rPr>
          <w:rStyle w:val="C3"/>
          <w:rFonts w:ascii="Courier New" w:hAnsi="Courier New"/>
        </w:rPr>
        <w:t xml:space="preserve"> presente Ordenanza tiene por finalidad promover y proteger la salud de la población infantil y adolescente que asiste a Establecimientos Escolares Públicos y Privados de la Ciudad de Alta Gracia, a través de la promoción de una alimentación saludable en el ámbito escolar, contribuyendo así a la prevención de enfermedades relacionadas a la malnutrición por excesos (sobrepeso y obesidad), deficiencia de macro y micro nutrientes, también denominada desnutrición oculta.- </w:t>
      </w:r>
    </w:p>
    <w:p>
      <w:pPr>
        <w:jc w:val="both"/>
        <w:rPr>
          <w:rStyle w:val="C3"/>
          <w:rFonts w:ascii="Courier New" w:hAnsi="Courier New"/>
          <w:b w:val="1"/>
        </w:rPr>
      </w:pPr>
    </w:p>
    <w:p>
      <w:pPr>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SON</w:t>
      </w:r>
      <w:r>
        <w:rPr>
          <w:rStyle w:val="C3"/>
          <w:rFonts w:ascii="Courier New" w:hAnsi="Courier New"/>
        </w:rPr>
        <w:t xml:space="preserve"> objetivos de esta Ordenanza:</w:t>
      </w:r>
    </w:p>
    <w:p>
      <w:pPr>
        <w:pStyle w:val="P24"/>
        <w:numPr>
          <w:ilvl w:val="0"/>
          <w:numId w:val="33"/>
        </w:numPr>
        <w:tabs>
          <w:tab w:val="left" w:pos="426" w:leader="none"/>
          <w:tab w:val="left" w:pos="709" w:leader="none"/>
          <w:tab w:val="clear" w:pos="720" w:leader="none"/>
          <w:tab w:val="left" w:pos="851" w:leader="none"/>
        </w:tabs>
        <w:spacing w:before="0" w:after="0"/>
        <w:ind w:firstLine="0" w:left="426"/>
        <w:jc w:val="both"/>
        <w:rPr>
          <w:rStyle w:val="C3"/>
          <w:rFonts w:ascii="Courier New" w:hAnsi="Courier New"/>
        </w:rPr>
      </w:pPr>
      <w:r>
        <w:rPr>
          <w:rStyle w:val="C3"/>
          <w:rFonts w:ascii="Courier New" w:hAnsi="Courier New"/>
        </w:rPr>
        <w:t>Ejecutar acciones tendientes a mejorar el estado nutricional de niños, niñas y adolescentes que asisten a escuelas públicas y privadas de la Ciudad de Alta Gracia del sistema educativo obligatorio.</w:t>
      </w:r>
    </w:p>
    <w:p>
      <w:pPr>
        <w:pStyle w:val="P24"/>
        <w:numPr>
          <w:ilvl w:val="0"/>
          <w:numId w:val="33"/>
        </w:numPr>
        <w:tabs>
          <w:tab w:val="left" w:pos="426" w:leader="none"/>
          <w:tab w:val="clear" w:pos="720" w:leader="none"/>
          <w:tab w:val="left" w:pos="851" w:leader="none"/>
        </w:tabs>
        <w:spacing w:before="0" w:after="0"/>
        <w:ind w:firstLine="0" w:left="426"/>
        <w:jc w:val="both"/>
        <w:rPr>
          <w:rStyle w:val="C3"/>
          <w:rFonts w:ascii="Courier New" w:hAnsi="Courier New"/>
        </w:rPr>
      </w:pPr>
      <w:r>
        <w:rPr>
          <w:rStyle w:val="C3"/>
          <w:rFonts w:ascii="Courier New" w:hAnsi="Courier New"/>
        </w:rPr>
        <w:t>Favorecer que los alumnos de establecimientos escolares de la Ciudad de Alta Gracia tengan la posibilidad de incorporar alimentos nutritivamente adecuados a su edad de crecimiento y desarrollo, en el ámbito escolar.</w:t>
      </w:r>
    </w:p>
    <w:p>
      <w:pPr>
        <w:pStyle w:val="P24"/>
        <w:tabs>
          <w:tab w:val="left" w:pos="851" w:leader="none"/>
        </w:tabs>
        <w:spacing w:before="0" w:after="0"/>
        <w:ind w:left="426"/>
        <w:jc w:val="right"/>
        <w:rPr>
          <w:rStyle w:val="C3"/>
          <w:rFonts w:ascii="Courier New" w:hAnsi="Courier New"/>
        </w:rPr>
      </w:pPr>
      <w:r>
        <w:rPr>
          <w:rStyle w:val="C3"/>
          <w:rFonts w:ascii="Courier New" w:hAnsi="Courier New"/>
        </w:rPr>
        <w:t>...///</w:t>
      </w:r>
    </w:p>
    <w:p>
      <w:pPr>
        <w:pStyle w:val="P24"/>
        <w:tabs>
          <w:tab w:val="left" w:pos="851" w:leader="none"/>
        </w:tabs>
        <w:spacing w:before="0" w:after="0"/>
        <w:ind w:left="426"/>
        <w:jc w:val="right"/>
        <w:rPr>
          <w:rStyle w:val="C3"/>
          <w:rFonts w:ascii="Courier New" w:hAnsi="Courier New"/>
        </w:rPr>
      </w:pPr>
    </w:p>
    <w:p>
      <w:pPr>
        <w:pStyle w:val="P24"/>
        <w:tabs>
          <w:tab w:val="left" w:pos="851" w:leader="none"/>
        </w:tabs>
        <w:spacing w:before="0" w:after="0"/>
        <w:ind w:left="426"/>
        <w:jc w:val="right"/>
        <w:rPr>
          <w:rStyle w:val="C3"/>
          <w:rFonts w:ascii="Courier New" w:hAnsi="Courier New"/>
        </w:rPr>
      </w:pPr>
    </w:p>
    <w:p>
      <w:pPr>
        <w:pStyle w:val="P24"/>
        <w:tabs>
          <w:tab w:val="left" w:pos="851" w:leader="none"/>
        </w:tabs>
        <w:spacing w:before="0" w:after="0"/>
        <w:ind w:left="426"/>
        <w:jc w:val="right"/>
        <w:rPr>
          <w:rStyle w:val="C3"/>
          <w:rFonts w:ascii="Courier New" w:hAnsi="Courier New"/>
        </w:rPr>
      </w:pPr>
    </w:p>
    <w:p>
      <w:pPr>
        <w:pStyle w:val="P24"/>
        <w:tabs>
          <w:tab w:val="left" w:pos="851" w:leader="none"/>
        </w:tabs>
        <w:spacing w:before="0" w:after="0"/>
        <w:ind w:left="426"/>
        <w:jc w:val="right"/>
        <w:rPr>
          <w:rStyle w:val="C3"/>
          <w:rFonts w:ascii="Courier New" w:hAnsi="Courier New"/>
        </w:rPr>
      </w:pPr>
    </w:p>
    <w:p>
      <w:pPr>
        <w:pStyle w:val="P24"/>
        <w:tabs>
          <w:tab w:val="left" w:pos="851" w:leader="none"/>
        </w:tabs>
        <w:spacing w:before="0" w:after="0"/>
        <w:ind w:left="426"/>
        <w:jc w:val="right"/>
        <w:rPr>
          <w:rStyle w:val="C3"/>
          <w:rFonts w:ascii="Courier New" w:hAnsi="Courier New"/>
        </w:rPr>
      </w:pPr>
    </w:p>
    <w:p>
      <w:pPr>
        <w:pStyle w:val="P24"/>
        <w:tabs>
          <w:tab w:val="left" w:pos="851" w:leader="none"/>
        </w:tabs>
        <w:spacing w:before="0" w:after="0"/>
        <w:ind w:left="426"/>
        <w:jc w:val="right"/>
        <w:rPr>
          <w:rStyle w:val="C3"/>
          <w:rFonts w:ascii="Courier New" w:hAnsi="Courier New"/>
        </w:rPr>
      </w:pPr>
    </w:p>
    <w:p>
      <w:pPr>
        <w:pStyle w:val="P24"/>
        <w:tabs>
          <w:tab w:val="left" w:pos="851" w:leader="none"/>
        </w:tabs>
        <w:spacing w:before="0" w:after="0"/>
        <w:ind w:left="426"/>
        <w:jc w:val="right"/>
        <w:rPr>
          <w:rStyle w:val="C3"/>
          <w:rFonts w:ascii="Courier New" w:hAnsi="Courier New"/>
        </w:rPr>
      </w:pPr>
    </w:p>
    <w:p>
      <w:pPr>
        <w:pStyle w:val="P24"/>
        <w:tabs>
          <w:tab w:val="left" w:pos="851" w:leader="none"/>
        </w:tabs>
        <w:spacing w:before="0" w:after="0"/>
        <w:ind w:left="426"/>
        <w:jc w:val="right"/>
        <w:rPr>
          <w:rStyle w:val="C3"/>
          <w:rFonts w:ascii="Courier New" w:hAnsi="Courier New"/>
        </w:rPr>
      </w:pPr>
    </w:p>
    <w:p>
      <w:pPr>
        <w:pStyle w:val="P24"/>
        <w:tabs>
          <w:tab w:val="left" w:pos="851" w:leader="none"/>
        </w:tabs>
        <w:spacing w:before="0" w:after="0"/>
        <w:ind w:left="426"/>
        <w:jc w:val="both"/>
        <w:rPr>
          <w:rStyle w:val="C3"/>
          <w:rFonts w:ascii="Courier New" w:hAnsi="Courier New"/>
        </w:rPr>
      </w:pPr>
    </w:p>
    <w:p>
      <w:pPr>
        <w:pStyle w:val="P24"/>
        <w:tabs>
          <w:tab w:val="left" w:pos="851" w:leader="none"/>
        </w:tabs>
        <w:spacing w:before="0" w:after="0"/>
        <w:ind w:left="426"/>
        <w:jc w:val="both"/>
        <w:rPr>
          <w:rStyle w:val="C3"/>
          <w:rFonts w:ascii="Courier New" w:hAnsi="Courier New"/>
        </w:rPr>
      </w:pPr>
    </w:p>
    <w:p>
      <w:pPr>
        <w:pStyle w:val="P24"/>
        <w:tabs>
          <w:tab w:val="left" w:pos="851" w:leader="none"/>
        </w:tabs>
        <w:spacing w:before="0" w:after="0"/>
        <w:ind w:left="426"/>
        <w:jc w:val="both"/>
        <w:rPr>
          <w:rStyle w:val="C3"/>
          <w:rFonts w:ascii="Courier New" w:hAnsi="Courier New"/>
        </w:rPr>
      </w:pPr>
    </w:p>
    <w:p>
      <w:pPr>
        <w:pStyle w:val="P24"/>
        <w:tabs>
          <w:tab w:val="left" w:pos="851" w:leader="none"/>
        </w:tabs>
        <w:spacing w:before="0" w:after="0"/>
        <w:ind w:left="426"/>
        <w:jc w:val="both"/>
        <w:rPr>
          <w:rStyle w:val="C3"/>
          <w:rFonts w:ascii="Courier New" w:hAnsi="Courier New"/>
        </w:rPr>
      </w:pPr>
    </w:p>
    <w:p>
      <w:pPr>
        <w:pStyle w:val="P24"/>
        <w:tabs>
          <w:tab w:val="left" w:pos="851" w:leader="none"/>
        </w:tabs>
        <w:spacing w:before="0" w:after="0"/>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tabs>
          <w:tab w:val="left" w:pos="7371" w:leader="none"/>
        </w:tabs>
        <w:ind w:left="426"/>
        <w:jc w:val="left"/>
        <w:rPr>
          <w:rStyle w:val="C3"/>
        </w:rPr>
      </w:pPr>
    </w:p>
    <w:p>
      <w:pPr>
        <w:pStyle w:val="P11"/>
        <w:tabs>
          <w:tab w:val="left" w:pos="7371" w:leader="none"/>
        </w:tabs>
        <w:jc w:val="left"/>
      </w:pPr>
      <w:r>
        <w:t>...///8.-</w:t>
      </w:r>
    </w:p>
    <w:p>
      <w:pPr>
        <w:pStyle w:val="P24"/>
        <w:tabs>
          <w:tab w:val="left" w:pos="851" w:leader="none"/>
        </w:tabs>
        <w:spacing w:before="0" w:after="0"/>
        <w:ind w:left="426"/>
        <w:jc w:val="both"/>
        <w:rPr>
          <w:rStyle w:val="C3"/>
          <w:rFonts w:ascii="Courier New" w:hAnsi="Courier New"/>
        </w:rPr>
      </w:pPr>
    </w:p>
    <w:p>
      <w:pPr>
        <w:pStyle w:val="P24"/>
        <w:numPr>
          <w:ilvl w:val="0"/>
          <w:numId w:val="33"/>
        </w:numPr>
        <w:tabs>
          <w:tab w:val="left" w:pos="426" w:leader="none"/>
          <w:tab w:val="clear" w:pos="720" w:leader="none"/>
          <w:tab w:val="left" w:pos="851" w:leader="none"/>
        </w:tabs>
        <w:spacing w:before="0" w:after="0"/>
        <w:ind w:firstLine="0" w:left="426"/>
        <w:jc w:val="both"/>
        <w:rPr>
          <w:rStyle w:val="C3"/>
          <w:rFonts w:ascii="Courier New" w:hAnsi="Courier New"/>
        </w:rPr>
      </w:pPr>
      <w:r>
        <w:rPr>
          <w:rStyle w:val="C3"/>
          <w:rFonts w:ascii="Courier New" w:hAnsi="Courier New"/>
        </w:rPr>
        <w:t>Contribuir a la Educación Alimentaria Nutricional (E.A.N) en los establecimientos escolares de la Ciudad de Alta Gracia a fin de promover hábitos alimentarios saludables.</w:t>
      </w:r>
    </w:p>
    <w:p>
      <w:pPr>
        <w:pStyle w:val="P24"/>
        <w:numPr>
          <w:ilvl w:val="0"/>
          <w:numId w:val="33"/>
        </w:numPr>
        <w:tabs>
          <w:tab w:val="clear" w:pos="720" w:leader="none"/>
          <w:tab w:val="left" w:pos="851" w:leader="none"/>
        </w:tabs>
        <w:spacing w:before="0" w:after="0"/>
        <w:ind w:firstLine="0" w:left="426"/>
        <w:jc w:val="both"/>
        <w:rPr>
          <w:rStyle w:val="C3"/>
          <w:rFonts w:ascii="Courier New" w:hAnsi="Courier New"/>
        </w:rPr>
      </w:pPr>
      <w:r>
        <w:rPr>
          <w:rStyle w:val="C3"/>
          <w:rFonts w:ascii="Courier New" w:hAnsi="Courier New"/>
        </w:rPr>
        <w:t>Brindar opciones de alimentos, productos alimentarios, bebidas nutritivamente adecuadas a la edad de crecimiento y desarrollo en todas las cantinas o quioscos escolares; incluyendo la venta de alimentos protectores, reguladores y energéticos.</w:t>
      </w:r>
    </w:p>
    <w:p>
      <w:pPr>
        <w:pStyle w:val="P24"/>
        <w:numPr>
          <w:ilvl w:val="0"/>
          <w:numId w:val="33"/>
        </w:numPr>
        <w:tabs>
          <w:tab w:val="left" w:pos="426" w:leader="none"/>
          <w:tab w:val="clear" w:pos="720" w:leader="none"/>
          <w:tab w:val="left" w:pos="851" w:leader="none"/>
        </w:tabs>
        <w:spacing w:before="0" w:after="0"/>
        <w:ind w:firstLine="0" w:left="426"/>
        <w:jc w:val="both"/>
        <w:rPr>
          <w:rStyle w:val="C3"/>
          <w:rFonts w:ascii="Courier New" w:hAnsi="Courier New"/>
        </w:rPr>
      </w:pPr>
      <w:r>
        <w:rPr>
          <w:rStyle w:val="C3"/>
          <w:rFonts w:ascii="Courier New" w:hAnsi="Courier New"/>
        </w:rPr>
        <w:t>Limitar, progresivamente, en los establecimientos escolares de la Ciudad de Alta Gracia el expendio de alimentos, productos alimentarios y bebidas de escaso valor nutritivo o cuyo aporte principal sea constituido por calorías vacías que contengan un alto porcentaje de azúcares simples, grasas totales, grasas saturadas o sustancias denominadas trans.</w:t>
      </w:r>
    </w:p>
    <w:p>
      <w:pPr>
        <w:pStyle w:val="P24"/>
        <w:numPr>
          <w:ilvl w:val="0"/>
          <w:numId w:val="33"/>
        </w:numPr>
        <w:tabs>
          <w:tab w:val="clear" w:pos="720" w:leader="none"/>
          <w:tab w:val="left" w:pos="851" w:leader="none"/>
        </w:tabs>
        <w:spacing w:before="0" w:after="0"/>
        <w:ind w:firstLine="0" w:left="426"/>
        <w:jc w:val="both"/>
        <w:rPr>
          <w:rStyle w:val="C3"/>
          <w:rFonts w:ascii="Courier New" w:hAnsi="Courier New"/>
        </w:rPr>
      </w:pPr>
      <w:r>
        <w:rPr>
          <w:rStyle w:val="C3"/>
          <w:rFonts w:ascii="Courier New" w:hAnsi="Courier New"/>
        </w:rPr>
        <w:t>Generar estrategias para la detección temprana de la enfermedad, involucrando a la familia en este proceso.</w:t>
      </w:r>
    </w:p>
    <w:p>
      <w:pPr>
        <w:pStyle w:val="P24"/>
        <w:numPr>
          <w:ilvl w:val="0"/>
          <w:numId w:val="33"/>
        </w:numPr>
        <w:tabs>
          <w:tab w:val="clear" w:pos="720" w:leader="none"/>
          <w:tab w:val="left" w:pos="851" w:leader="none"/>
        </w:tabs>
        <w:spacing w:before="0" w:after="0"/>
        <w:ind w:firstLine="0" w:left="426"/>
        <w:jc w:val="both"/>
        <w:rPr>
          <w:rStyle w:val="C3"/>
          <w:rFonts w:ascii="Courier New" w:hAnsi="Courier New"/>
        </w:rPr>
      </w:pPr>
      <w:r>
        <w:rPr>
          <w:rStyle w:val="C3"/>
          <w:rFonts w:ascii="Courier New" w:hAnsi="Courier New"/>
        </w:rPr>
        <w:t>Procurar la toma de conciencia de la población sobre la importancia de incorporar hábitos de vida y de alimentación que coadyuven a lograr un óptimo estado de salud, revalorizando el ritual de las comidas en familia y hechas en casa</w:t>
      </w:r>
    </w:p>
    <w:p>
      <w:pPr>
        <w:pStyle w:val="P24"/>
        <w:numPr>
          <w:ilvl w:val="0"/>
          <w:numId w:val="33"/>
        </w:numPr>
        <w:tabs>
          <w:tab w:val="clear" w:pos="720" w:leader="none"/>
          <w:tab w:val="left" w:pos="851" w:leader="none"/>
        </w:tabs>
        <w:spacing w:before="0" w:after="0"/>
        <w:ind w:firstLine="0" w:left="426"/>
        <w:jc w:val="both"/>
        <w:rPr>
          <w:rStyle w:val="C3"/>
          <w:rFonts w:ascii="Courier New" w:hAnsi="Courier New"/>
        </w:rPr>
      </w:pPr>
      <w:r>
        <w:rPr>
          <w:rStyle w:val="C3"/>
          <w:rFonts w:ascii="Courier New" w:hAnsi="Courier New"/>
        </w:rPr>
        <w:t>Organizar campañas de difusión, especialmente dirigidas a la población infantil y adolescente, promoviendo dietas saludables y desalentando el consumo de bebidas gaseosas, de jugos azucarados, de comidas rápidas o de bajo aporte nutricional</w:t>
      </w:r>
    </w:p>
    <w:p>
      <w:pPr>
        <w:pStyle w:val="P24"/>
        <w:numPr>
          <w:ilvl w:val="0"/>
          <w:numId w:val="33"/>
        </w:numPr>
        <w:tabs>
          <w:tab w:val="clear" w:pos="720" w:leader="none"/>
          <w:tab w:val="left" w:pos="851" w:leader="none"/>
        </w:tabs>
        <w:spacing w:before="0" w:after="0"/>
        <w:ind w:firstLine="0" w:left="426"/>
        <w:jc w:val="both"/>
        <w:rPr>
          <w:rStyle w:val="C3"/>
          <w:rFonts w:ascii="Courier New" w:hAnsi="Courier New"/>
        </w:rPr>
      </w:pPr>
      <w:r>
        <w:rPr>
          <w:rStyle w:val="C3"/>
          <w:rFonts w:ascii="Courier New" w:hAnsi="Courier New"/>
        </w:rPr>
        <w:t>Incentivar la práctica de deportes no competitivos en la población en edad de asistir a escuelas primarias y secundarias.</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tabs>
          <w:tab w:val="left" w:pos="7371" w:leader="none"/>
        </w:tabs>
        <w:ind w:left="426"/>
        <w:jc w:val="left"/>
        <w:rPr>
          <w:rStyle w:val="C3"/>
        </w:rPr>
      </w:pPr>
    </w:p>
    <w:p>
      <w:pPr>
        <w:pStyle w:val="P11"/>
        <w:tabs>
          <w:tab w:val="left" w:pos="7371" w:leader="none"/>
        </w:tabs>
        <w:jc w:val="left"/>
      </w:pPr>
      <w:r>
        <w:t>...///9.-</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LA</w:t>
      </w:r>
      <w:r>
        <w:rPr>
          <w:rStyle w:val="C3"/>
          <w:rFonts w:ascii="Courier New" w:hAnsi="Courier New"/>
        </w:rPr>
        <w:t xml:space="preserve"> Dirección Municipal de Salud Pública confeccionará un listado de alimentos saludables que de acuerdo a sus características nutricionales adecuadas a la edad de crecimiento y desarrollo, se podrán expender en los establecimientos educativos de la Ciudad de Alta Gracia, haciendo hincapié en la calidad nutricional de los mismos. Dicho listado deberá contener un apartado de información nutricional adicional destinado a la población escolar en general -docentes, padres, alumnos y personal no docente-, respecto de pautas básicas para una alimentación saludable en las diferentes etapas del crecimiento. El mismo deberá actualizarse al menos una vez al año, y elaborarse atendiendo las características de la época invernal y estival.</w:t>
      </w:r>
    </w:p>
    <w:p>
      <w:pPr>
        <w:ind w:left="426"/>
        <w:jc w:val="both"/>
        <w:rPr>
          <w:rStyle w:val="C3"/>
          <w:rFonts w:ascii="Courier New" w:hAnsi="Courier New"/>
        </w:rPr>
      </w:pPr>
      <w:r>
        <w:rPr>
          <w:rStyle w:val="C3"/>
          <w:rFonts w:ascii="Courier New" w:hAnsi="Courier New"/>
        </w:rPr>
        <w:t>La Dirección Municipal de Salud Pública confeccionará un instructivo con información nutricional destinada a la población en general.-</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EL</w:t>
      </w:r>
      <w:r>
        <w:rPr>
          <w:rStyle w:val="C3"/>
          <w:rFonts w:ascii="Courier New" w:hAnsi="Courier New"/>
        </w:rPr>
        <w:t xml:space="preserve"> listado del Artículo anterior deberá contemplar alimentos aptos para el consumo de celíacos y diabéticos.-</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PROHÍBASE</w:t>
      </w:r>
      <w:r>
        <w:rPr>
          <w:rStyle w:val="C3"/>
          <w:rFonts w:ascii="Courier New" w:hAnsi="Courier New"/>
        </w:rPr>
        <w:t xml:space="preserve"> la venta, expendio, exhibición, despacho, difusión y propalación de cualquier tipo de publicidad o promoción en los establecimientos educativos de aquellos alimentos, grupos de alimentos o productos alimentarios o bebidas que no estén incluidos en el listado mencionado en el Art.3º de la presente y cuyo aporte principal sea constituido por calorías vacías o que contengan un alto porcentaje de azúcares simples o grasas totales, grasas saturadas o sustancias denominadas trans, en razón de ser considerados inadecuados en la alimentación diaria de niños, niñas y adolescentes.-</w:t>
      </w: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tabs>
          <w:tab w:val="left" w:pos="7371" w:leader="none"/>
        </w:tabs>
        <w:ind w:left="426"/>
        <w:jc w:val="left"/>
        <w:rPr>
          <w:rStyle w:val="C3"/>
        </w:rPr>
      </w:pPr>
    </w:p>
    <w:p>
      <w:pPr>
        <w:pStyle w:val="P11"/>
        <w:tabs>
          <w:tab w:val="left" w:pos="7371" w:leader="none"/>
        </w:tabs>
        <w:jc w:val="left"/>
      </w:pPr>
      <w:r>
        <w:t>...///10.-</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6</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LA</w:t>
      </w:r>
      <w:r>
        <w:rPr>
          <w:rStyle w:val="C3"/>
          <w:rFonts w:ascii="Courier New" w:hAnsi="Courier New"/>
        </w:rPr>
        <w:t xml:space="preserve"> autoridad de aplicación velará por el cumplimiento en el territorio municipal de la normativa vigente en materia de publicidad de bebidas gaseosas, de jugos azucarados y de comidas rápidas o de bajo aporte nutricional comprendidos en la Resolución Nº 20/2005 del Ministerio de Salud y Ambiente de la Nación, atendiendo particularmente al cumplimiento de las pautas éticas establecidas para la misma por la Disposición N 4980/05 de la Administración Nacional de Medicamentos, Alimentos y Tecnología Médica.-</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7</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EN</w:t>
      </w:r>
      <w:r>
        <w:rPr>
          <w:rStyle w:val="C3"/>
          <w:rFonts w:ascii="Courier New" w:hAnsi="Courier New"/>
        </w:rPr>
        <w:t xml:space="preserve"> todos los establecimientos educativos de la Ciudad de Alta Gracia, deberán fijarse en lugares visibles, principalmente en los puntos de expendio, los listados de alimentos saludables, no saludables, así como también los instructivos, guías explicativas y material gráfico claro y vistoso, acerca de una alimentación adecuada para vivir con salud. No siendo esto privativo de la existencia de otros mensajes o información al respecto elaborados en ese u otro establecimiento para ser aplicados a los fines educativos bajo una dirección pedagógica adecuada.- </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8</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DECLÁRESE</w:t>
      </w:r>
      <w:r>
        <w:rPr>
          <w:rStyle w:val="C3"/>
          <w:rFonts w:ascii="Courier New" w:hAnsi="Courier New"/>
        </w:rPr>
        <w:t xml:space="preserve"> de Interés Municipal la promoción, el estimulo y el desarrollo del consumo de frutas, verduras, hortalizas, cereales y lácteos, como componentes imprescindibles de una dieta cotidiana, equilibrada y saludable.-</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9</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PROHÍBASE</w:t>
      </w:r>
      <w:r>
        <w:rPr>
          <w:rStyle w:val="C3"/>
          <w:rFonts w:ascii="Courier New" w:hAnsi="Courier New"/>
        </w:rPr>
        <w:t xml:space="preserve"> en los establecimientos educativos de la Ciudad de Alta Gracia el funcionamiento e instalación de máquinas expendedoras de alimentos o bebidas que no estén incluidos en el listado elaborado por la Dirección Municipal de Salud Pública.-</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tabs>
          <w:tab w:val="left" w:pos="7371" w:leader="none"/>
        </w:tabs>
        <w:ind w:left="426"/>
        <w:jc w:val="left"/>
        <w:rPr>
          <w:rStyle w:val="C3"/>
        </w:rPr>
      </w:pPr>
    </w:p>
    <w:p>
      <w:pPr>
        <w:pStyle w:val="P11"/>
        <w:tabs>
          <w:tab w:val="left" w:pos="7371" w:leader="none"/>
        </w:tabs>
        <w:jc w:val="left"/>
      </w:pPr>
      <w:r>
        <w:t>...///11.-</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10</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LA</w:t>
      </w:r>
      <w:r>
        <w:rPr>
          <w:rStyle w:val="C3"/>
          <w:rFonts w:ascii="Courier New" w:hAnsi="Courier New"/>
        </w:rPr>
        <w:t xml:space="preserve"> Dirección Municipal de Salud Pública coordinará acciones con las Escuelas y otras Organizaciones y dependencias Municipales a los efectos de capacitar a educadores, trabajadores sociales y demás operadores comunitarios en todo lo relativo a la obesidad y sobrepeso, para detectar las conductas de riesgo y las situaciones patológicas y consecuentemente promover acciones para erradicarlas. Estas acciones deberán comprender periódicos controles sanitarios a la población escolar y asesoramiento a los padres.-</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11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ENCOMIÉNDESE</w:t>
      </w:r>
      <w:r>
        <w:rPr>
          <w:rStyle w:val="C3"/>
          <w:rFonts w:ascii="Courier New" w:hAnsi="Courier New"/>
        </w:rPr>
        <w:t xml:space="preserve">, asimismo,  a la Dirección Municipal de Salud Pública:</w:t>
      </w:r>
    </w:p>
    <w:p>
      <w:pPr>
        <w:numPr>
          <w:ilvl w:val="0"/>
          <w:numId w:val="34"/>
        </w:numPr>
        <w:ind w:firstLine="0"/>
        <w:jc w:val="both"/>
        <w:rPr>
          <w:rStyle w:val="C3"/>
          <w:rFonts w:ascii="Courier New" w:hAnsi="Courier New"/>
        </w:rPr>
      </w:pPr>
      <w:r>
        <w:rPr>
          <w:rStyle w:val="C3"/>
          <w:rFonts w:ascii="Courier New" w:hAnsi="Courier New"/>
        </w:rPr>
        <w:t>Crear Programas de Educación Nutricional para Escuelas y establecimientos educativos de la Ciudad de Alta Gracia, con la participación de profesionales Licenciados en Nutrición, con el objetivo de acompañar la aplicación de esta ordenanza y el surgimiento de nuevas acciones tendientes a mejorar la calidad nutricional de los educandos.</w:t>
      </w:r>
    </w:p>
    <w:p>
      <w:pPr>
        <w:numPr>
          <w:ilvl w:val="0"/>
          <w:numId w:val="34"/>
        </w:numPr>
        <w:ind w:firstLine="0"/>
        <w:jc w:val="both"/>
        <w:rPr>
          <w:rStyle w:val="C3"/>
          <w:rFonts w:ascii="Courier New" w:hAnsi="Courier New"/>
        </w:rPr>
      </w:pPr>
      <w:r>
        <w:rPr>
          <w:rStyle w:val="C3"/>
          <w:rFonts w:ascii="Courier New" w:hAnsi="Courier New"/>
        </w:rPr>
        <w:t>Asesorar en todo lo relativo a enfermedades derivadas de la malnutrición por excesos carencias de micronutrientes y desnutrición oculta; ayudando y colaborando con la detección de conductas de riesgo y de situaciones patológicas.</w:t>
      </w:r>
    </w:p>
    <w:p>
      <w:pPr>
        <w:numPr>
          <w:ilvl w:val="0"/>
          <w:numId w:val="34"/>
        </w:numPr>
        <w:ind w:firstLine="0"/>
        <w:jc w:val="both"/>
        <w:rPr>
          <w:rStyle w:val="C3"/>
          <w:rFonts w:ascii="Courier New" w:hAnsi="Courier New"/>
        </w:rPr>
      </w:pPr>
      <w:r>
        <w:rPr>
          <w:rStyle w:val="C3"/>
          <w:rFonts w:ascii="Courier New" w:hAnsi="Courier New"/>
        </w:rPr>
        <w:t>Asesorar y capacitar en todo lo referente a inocuidad de los alimentos y seguridad alimentaria.</w:t>
      </w:r>
    </w:p>
    <w:p>
      <w:pPr>
        <w:numPr>
          <w:ilvl w:val="0"/>
          <w:numId w:val="34"/>
        </w:numPr>
        <w:ind w:firstLine="0"/>
        <w:jc w:val="both"/>
        <w:rPr>
          <w:rStyle w:val="C3"/>
          <w:rFonts w:ascii="Courier New" w:hAnsi="Courier New"/>
        </w:rPr>
      </w:pPr>
      <w:r>
        <w:rPr>
          <w:rStyle w:val="C3"/>
          <w:rFonts w:ascii="Courier New" w:hAnsi="Courier New"/>
        </w:rPr>
        <w:t>Promover la capacitación de los agentes responsables de los quioscos, cantinas o expendio de alimentos en las escuelas, como así también de personal seleccionado por la dirección del establecimiento que requiera dicha capacitación y estén abocados a los fines de esta Ordenanza.</w:t>
      </w:r>
    </w:p>
    <w:p>
      <w:pPr>
        <w:ind w:left="360"/>
        <w:jc w:val="both"/>
        <w:rPr>
          <w:rStyle w:val="C3"/>
          <w:rFonts w:ascii="Courier New" w:hAnsi="Courier New"/>
        </w:rPr>
      </w:pPr>
    </w:p>
    <w:p>
      <w:pPr>
        <w:ind w:left="360"/>
        <w:jc w:val="right"/>
        <w:rPr>
          <w:rStyle w:val="C3"/>
          <w:rFonts w:ascii="Courier New" w:hAnsi="Courier New"/>
        </w:rPr>
      </w:pPr>
      <w:r>
        <w:rPr>
          <w:rStyle w:val="C3"/>
          <w:rFonts w:ascii="Courier New" w:hAnsi="Courier New"/>
        </w:rPr>
        <w:t>...///</w:t>
      </w:r>
    </w:p>
    <w:p>
      <w:pPr>
        <w:ind w:left="360"/>
        <w:jc w:val="both"/>
        <w:rPr>
          <w:rStyle w:val="C3"/>
          <w:rFonts w:ascii="Courier New" w:hAnsi="Courier New"/>
        </w:rPr>
      </w:pPr>
    </w:p>
    <w:p>
      <w:pPr>
        <w:ind w:left="360"/>
        <w:jc w:val="both"/>
        <w:rPr>
          <w:rStyle w:val="C3"/>
          <w:rFonts w:ascii="Courier New" w:hAnsi="Courier New"/>
        </w:rPr>
      </w:pPr>
    </w:p>
    <w:p>
      <w:pPr>
        <w:ind w:left="360"/>
        <w:jc w:val="both"/>
        <w:rPr>
          <w:rStyle w:val="C3"/>
          <w:rFonts w:ascii="Courier New" w:hAnsi="Courier New"/>
        </w:rPr>
      </w:pPr>
    </w:p>
    <w:p>
      <w:pPr>
        <w:ind w:left="360"/>
        <w:jc w:val="both"/>
        <w:rPr>
          <w:rStyle w:val="C3"/>
          <w:rFonts w:ascii="Courier New" w:hAnsi="Courier New"/>
        </w:rPr>
      </w:pPr>
    </w:p>
    <w:p>
      <w:pPr>
        <w:ind w:left="360"/>
        <w:jc w:val="both"/>
        <w:rPr>
          <w:rStyle w:val="C3"/>
          <w:rFonts w:ascii="Courier New" w:hAnsi="Courier New"/>
        </w:rPr>
      </w:pPr>
    </w:p>
    <w:p>
      <w:pPr>
        <w:ind w:left="360"/>
        <w:jc w:val="both"/>
        <w:rPr>
          <w:rStyle w:val="C3"/>
          <w:rFonts w:ascii="Courier New" w:hAnsi="Courier New"/>
        </w:rPr>
      </w:pPr>
    </w:p>
    <w:p>
      <w:pPr>
        <w:ind w:left="360"/>
        <w:jc w:val="both"/>
        <w:rPr>
          <w:rStyle w:val="C3"/>
          <w:rFonts w:ascii="Courier New" w:hAnsi="Courier New"/>
        </w:rPr>
      </w:pPr>
    </w:p>
    <w:p>
      <w:pPr>
        <w:ind w:left="360"/>
        <w:jc w:val="both"/>
        <w:rPr>
          <w:rStyle w:val="C3"/>
          <w:rFonts w:ascii="Courier New" w:hAnsi="Courier New"/>
        </w:rPr>
      </w:pPr>
    </w:p>
    <w:p>
      <w:pPr>
        <w:ind w:left="360"/>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tabs>
          <w:tab w:val="left" w:pos="7371" w:leader="none"/>
        </w:tabs>
        <w:ind w:left="426"/>
        <w:jc w:val="left"/>
        <w:rPr>
          <w:rStyle w:val="C3"/>
        </w:rPr>
      </w:pPr>
    </w:p>
    <w:p>
      <w:pPr>
        <w:pStyle w:val="P11"/>
        <w:tabs>
          <w:tab w:val="left" w:pos="7371" w:leader="none"/>
        </w:tabs>
        <w:jc w:val="left"/>
      </w:pPr>
      <w:r>
        <w:t>...///12.-</w:t>
      </w:r>
    </w:p>
    <w:p>
      <w:pPr>
        <w:ind w:left="360"/>
        <w:jc w:val="both"/>
        <w:rPr>
          <w:rStyle w:val="C3"/>
          <w:rFonts w:ascii="Courier New" w:hAnsi="Courier New"/>
        </w:rPr>
      </w:pPr>
    </w:p>
    <w:p>
      <w:pPr>
        <w:numPr>
          <w:ilvl w:val="0"/>
          <w:numId w:val="34"/>
        </w:numPr>
        <w:ind w:firstLine="0"/>
        <w:jc w:val="both"/>
        <w:rPr>
          <w:rStyle w:val="C3"/>
          <w:rFonts w:ascii="Courier New" w:hAnsi="Courier New"/>
        </w:rPr>
      </w:pPr>
      <w:r>
        <w:rPr>
          <w:rStyle w:val="C3"/>
          <w:rFonts w:ascii="Courier New" w:hAnsi="Courier New"/>
        </w:rPr>
        <w:t>Instrumentar en forma coordinada con la Provincia y la Nación políticas en relación con la Ley de Trastornos Alimentarios Nº 26396.-</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12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LOS</w:t>
      </w:r>
      <w:r>
        <w:rPr>
          <w:rStyle w:val="C3"/>
          <w:rFonts w:ascii="Courier New" w:hAnsi="Courier New"/>
        </w:rPr>
        <w:t xml:space="preserve"> lugares de venta de alimentos en establecimientos educativos - Cantinas, quioscos u otros - deberán estar habilitados por el Municipio, en un todo de acuerdo a las normas en la materia.-</w:t>
      </w:r>
    </w:p>
    <w:p>
      <w:pPr>
        <w:jc w:val="both"/>
        <w:rPr>
          <w:rStyle w:val="C3"/>
          <w:rFonts w:ascii="Courier New" w:hAnsi="Courier New"/>
          <w:b w:val="1"/>
        </w:rPr>
      </w:pPr>
    </w:p>
    <w:p>
      <w:pPr>
        <w:ind w:hanging="284" w:left="284"/>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13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ENCOMIÉNDESE</w:t>
      </w:r>
      <w:r>
        <w:rPr>
          <w:rStyle w:val="C3"/>
          <w:rFonts w:ascii="Courier New" w:hAnsi="Courier New"/>
        </w:rPr>
        <w:t xml:space="preserve"> a la Dirección Municipal de Salud Pública, que inicie gestiones ante Empresas, Cámaras de comerciantes o productores, fabricantes o comercializadores de alimentos, grupos de alimentos o productos alimentarios y bebidas, comprendidos en el listado mencionado en el artículo tercero de la presente, a fin de posibilitar la comercialización de dichos productos a un precio razonable así como de incorporar tecnología o procesamientos que mejoren la manipulación de los mismos y realizar campañas tendientes a promover su consumo.-</w:t>
      </w:r>
    </w:p>
    <w:p>
      <w:pPr>
        <w:jc w:val="both"/>
        <w:rPr>
          <w:rStyle w:val="C3"/>
          <w:rFonts w:ascii="Courier New" w:hAnsi="Courier New"/>
        </w:rPr>
      </w:pPr>
    </w:p>
    <w:p>
      <w:pPr>
        <w:ind w:hanging="284" w:left="284"/>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14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LA</w:t>
      </w:r>
      <w:r>
        <w:rPr>
          <w:rStyle w:val="C3"/>
          <w:rFonts w:ascii="Courier New" w:hAnsi="Courier New"/>
        </w:rPr>
        <w:t xml:space="preserve"> implementación de esta ordenanza de ninguna manera excluirá la atención de otros sectores sociales y etarios y de otras problemáticas nutricionales.</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15</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SIETE DÍAS DEL MES DE DICIEMBRE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507F760">
      <w:start w:val="0"/>
      <w:numFmt w:val="bullet"/>
      <w:suff w:val="tab"/>
      <w:lvlText w:val=""/>
      <w:lvlJc w:val="left"/>
      <w:pPr>
        <w:ind w:hanging="360" w:left="927"/>
      </w:pPr>
      <w:rPr>
        <w:rFonts w:ascii="Symbol" w:hAnsi="Symbol"/>
      </w:rPr>
    </w:lvl>
    <w:lvl w:ilvl="1" w:tplc="211AA36D">
      <w:start w:val="1"/>
      <w:numFmt w:val="bullet"/>
      <w:suff w:val="tab"/>
      <w:lvlText w:val="o"/>
      <w:lvlJc w:val="left"/>
      <w:pPr>
        <w:ind w:hanging="360" w:left="1647"/>
      </w:pPr>
      <w:rPr>
        <w:rFonts w:ascii="Courier New" w:hAnsi="Courier New"/>
      </w:rPr>
    </w:lvl>
    <w:lvl w:ilvl="2" w:tplc="03FBC5AD">
      <w:start w:val="1"/>
      <w:numFmt w:val="bullet"/>
      <w:suff w:val="tab"/>
      <w:lvlText w:val=""/>
      <w:lvlJc w:val="left"/>
      <w:pPr>
        <w:ind w:hanging="360" w:left="2367"/>
      </w:pPr>
      <w:rPr>
        <w:rFonts w:ascii="Wingdings" w:hAnsi="Wingdings"/>
      </w:rPr>
    </w:lvl>
    <w:lvl w:ilvl="3" w:tplc="2B0A0DCD">
      <w:start w:val="1"/>
      <w:numFmt w:val="bullet"/>
      <w:suff w:val="tab"/>
      <w:lvlText w:val=""/>
      <w:lvlJc w:val="left"/>
      <w:pPr>
        <w:ind w:hanging="360" w:left="3087"/>
      </w:pPr>
      <w:rPr>
        <w:rFonts w:ascii="Symbol" w:hAnsi="Symbol"/>
      </w:rPr>
    </w:lvl>
    <w:lvl w:ilvl="4" w:tplc="1147AB61">
      <w:start w:val="1"/>
      <w:numFmt w:val="bullet"/>
      <w:suff w:val="tab"/>
      <w:lvlText w:val="o"/>
      <w:lvlJc w:val="left"/>
      <w:pPr>
        <w:ind w:hanging="360" w:left="3807"/>
      </w:pPr>
      <w:rPr>
        <w:rFonts w:ascii="Courier New" w:hAnsi="Courier New"/>
      </w:rPr>
    </w:lvl>
    <w:lvl w:ilvl="5" w:tplc="083C8007">
      <w:start w:val="1"/>
      <w:numFmt w:val="bullet"/>
      <w:suff w:val="tab"/>
      <w:lvlText w:val=""/>
      <w:lvlJc w:val="left"/>
      <w:pPr>
        <w:ind w:hanging="360" w:left="4527"/>
      </w:pPr>
      <w:rPr>
        <w:rFonts w:ascii="Wingdings" w:hAnsi="Wingdings"/>
      </w:rPr>
    </w:lvl>
    <w:lvl w:ilvl="6" w:tplc="6C9AF9F7">
      <w:start w:val="1"/>
      <w:numFmt w:val="bullet"/>
      <w:suff w:val="tab"/>
      <w:lvlText w:val=""/>
      <w:lvlJc w:val="left"/>
      <w:pPr>
        <w:ind w:hanging="360" w:left="5247"/>
      </w:pPr>
      <w:rPr>
        <w:rFonts w:ascii="Symbol" w:hAnsi="Symbol"/>
      </w:rPr>
    </w:lvl>
    <w:lvl w:ilvl="7" w:tplc="607C6A3E">
      <w:start w:val="1"/>
      <w:numFmt w:val="bullet"/>
      <w:suff w:val="tab"/>
      <w:lvlText w:val="o"/>
      <w:lvlJc w:val="left"/>
      <w:pPr>
        <w:ind w:hanging="360" w:left="5967"/>
      </w:pPr>
      <w:rPr>
        <w:rFonts w:ascii="Courier New" w:hAnsi="Courier New"/>
      </w:rPr>
    </w:lvl>
    <w:lvl w:ilvl="8" w:tplc="181782A4">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10D3E1EF">
      <w:start w:val="0"/>
      <w:numFmt w:val="bullet"/>
      <w:suff w:val="tab"/>
      <w:lvlText w:val="-"/>
      <w:lvlJc w:val="left"/>
      <w:pPr>
        <w:ind w:hanging="360" w:left="720"/>
        <w:tabs>
          <w:tab w:val="left" w:pos="720" w:leader="none"/>
        </w:tabs>
      </w:pPr>
      <w:rPr>
        <w:rFonts w:ascii="Times New Roman" w:hAnsi="Times New Roman"/>
      </w:rPr>
    </w:lvl>
    <w:lvl w:ilvl="1" w:tplc="519380FF">
      <w:start w:val="1"/>
      <w:numFmt w:val="bullet"/>
      <w:suff w:val="tab"/>
      <w:lvlText w:val="o"/>
      <w:lvlJc w:val="left"/>
      <w:pPr>
        <w:ind w:hanging="360" w:left="1440"/>
        <w:tabs>
          <w:tab w:val="left" w:pos="1440" w:leader="none"/>
        </w:tabs>
      </w:pPr>
      <w:rPr>
        <w:rFonts w:ascii="Courier New" w:hAnsi="Courier New"/>
      </w:rPr>
    </w:lvl>
    <w:lvl w:ilvl="2" w:tplc="37EE8203">
      <w:start w:val="1"/>
      <w:numFmt w:val="bullet"/>
      <w:suff w:val="tab"/>
      <w:lvlText w:val=""/>
      <w:lvlJc w:val="left"/>
      <w:pPr>
        <w:ind w:hanging="360" w:left="2160"/>
        <w:tabs>
          <w:tab w:val="left" w:pos="2160" w:leader="none"/>
        </w:tabs>
      </w:pPr>
      <w:rPr>
        <w:rFonts w:ascii="Wingdings" w:hAnsi="Wingdings"/>
      </w:rPr>
    </w:lvl>
    <w:lvl w:ilvl="3" w:tplc="13699BA2">
      <w:start w:val="1"/>
      <w:numFmt w:val="bullet"/>
      <w:suff w:val="tab"/>
      <w:lvlText w:val=""/>
      <w:lvlJc w:val="left"/>
      <w:pPr>
        <w:ind w:hanging="360" w:left="2880"/>
        <w:tabs>
          <w:tab w:val="left" w:pos="2880" w:leader="none"/>
        </w:tabs>
      </w:pPr>
      <w:rPr>
        <w:rFonts w:ascii="Symbol" w:hAnsi="Symbol"/>
      </w:rPr>
    </w:lvl>
    <w:lvl w:ilvl="4" w:tplc="7628AA03">
      <w:start w:val="1"/>
      <w:numFmt w:val="bullet"/>
      <w:suff w:val="tab"/>
      <w:lvlText w:val="o"/>
      <w:lvlJc w:val="left"/>
      <w:pPr>
        <w:ind w:hanging="360" w:left="3600"/>
        <w:tabs>
          <w:tab w:val="left" w:pos="3600" w:leader="none"/>
        </w:tabs>
      </w:pPr>
      <w:rPr>
        <w:rFonts w:ascii="Courier New" w:hAnsi="Courier New"/>
      </w:rPr>
    </w:lvl>
    <w:lvl w:ilvl="5" w:tplc="25AA6888">
      <w:start w:val="1"/>
      <w:numFmt w:val="bullet"/>
      <w:suff w:val="tab"/>
      <w:lvlText w:val=""/>
      <w:lvlJc w:val="left"/>
      <w:pPr>
        <w:ind w:hanging="360" w:left="4320"/>
        <w:tabs>
          <w:tab w:val="left" w:pos="4320" w:leader="none"/>
        </w:tabs>
      </w:pPr>
      <w:rPr>
        <w:rFonts w:ascii="Wingdings" w:hAnsi="Wingdings"/>
      </w:rPr>
    </w:lvl>
    <w:lvl w:ilvl="6" w:tplc="049A1776">
      <w:start w:val="1"/>
      <w:numFmt w:val="bullet"/>
      <w:suff w:val="tab"/>
      <w:lvlText w:val=""/>
      <w:lvlJc w:val="left"/>
      <w:pPr>
        <w:ind w:hanging="360" w:left="5040"/>
        <w:tabs>
          <w:tab w:val="left" w:pos="5040" w:leader="none"/>
        </w:tabs>
      </w:pPr>
      <w:rPr>
        <w:rFonts w:ascii="Symbol" w:hAnsi="Symbol"/>
      </w:rPr>
    </w:lvl>
    <w:lvl w:ilvl="7" w:tplc="56EDF6F1">
      <w:start w:val="1"/>
      <w:numFmt w:val="bullet"/>
      <w:suff w:val="tab"/>
      <w:lvlText w:val="o"/>
      <w:lvlJc w:val="left"/>
      <w:pPr>
        <w:ind w:hanging="360" w:left="5760"/>
        <w:tabs>
          <w:tab w:val="left" w:pos="5760" w:leader="none"/>
        </w:tabs>
      </w:pPr>
      <w:rPr>
        <w:rFonts w:ascii="Courier New" w:hAnsi="Courier New"/>
      </w:rPr>
    </w:lvl>
    <w:lvl w:ilvl="8" w:tplc="59B7EEB1">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CB423FD">
      <w:start w:val="1"/>
      <w:numFmt w:val="bullet"/>
      <w:suff w:val="tab"/>
      <w:lvlText w:val=""/>
      <w:lvlJc w:val="left"/>
      <w:pPr>
        <w:ind w:hanging="360" w:left="720"/>
        <w:tabs>
          <w:tab w:val="left" w:pos="720" w:leader="none"/>
        </w:tabs>
      </w:pPr>
      <w:rPr>
        <w:rFonts w:ascii="Symbol" w:hAnsi="Symbol"/>
      </w:rPr>
    </w:lvl>
    <w:lvl w:ilvl="1" w:tplc="0576241D">
      <w:start w:val="1"/>
      <w:numFmt w:val="bullet"/>
      <w:suff w:val="tab"/>
      <w:lvlText w:val="o"/>
      <w:lvlJc w:val="left"/>
      <w:pPr>
        <w:ind w:hanging="360" w:left="1440"/>
        <w:tabs>
          <w:tab w:val="left" w:pos="1440" w:leader="none"/>
        </w:tabs>
      </w:pPr>
      <w:rPr>
        <w:rFonts w:ascii="Courier New" w:hAnsi="Courier New"/>
      </w:rPr>
    </w:lvl>
    <w:lvl w:ilvl="2" w:tplc="4565D72F">
      <w:start w:val="1"/>
      <w:numFmt w:val="bullet"/>
      <w:suff w:val="tab"/>
      <w:lvlText w:val=""/>
      <w:lvlJc w:val="left"/>
      <w:pPr>
        <w:ind w:hanging="360" w:left="2160"/>
        <w:tabs>
          <w:tab w:val="left" w:pos="2160" w:leader="none"/>
        </w:tabs>
      </w:pPr>
      <w:rPr>
        <w:rFonts w:ascii="Wingdings" w:hAnsi="Wingdings"/>
      </w:rPr>
    </w:lvl>
    <w:lvl w:ilvl="3" w:tplc="3BBC19A4">
      <w:start w:val="1"/>
      <w:numFmt w:val="bullet"/>
      <w:suff w:val="tab"/>
      <w:lvlText w:val=""/>
      <w:lvlJc w:val="left"/>
      <w:pPr>
        <w:ind w:hanging="360" w:left="2880"/>
        <w:tabs>
          <w:tab w:val="left" w:pos="2880" w:leader="none"/>
        </w:tabs>
      </w:pPr>
      <w:rPr>
        <w:rFonts w:ascii="Symbol" w:hAnsi="Symbol"/>
      </w:rPr>
    </w:lvl>
    <w:lvl w:ilvl="4" w:tplc="60F206CF">
      <w:start w:val="1"/>
      <w:numFmt w:val="bullet"/>
      <w:suff w:val="tab"/>
      <w:lvlText w:val="o"/>
      <w:lvlJc w:val="left"/>
      <w:pPr>
        <w:ind w:hanging="360" w:left="3600"/>
        <w:tabs>
          <w:tab w:val="left" w:pos="3600" w:leader="none"/>
        </w:tabs>
      </w:pPr>
      <w:rPr>
        <w:rFonts w:ascii="Courier New" w:hAnsi="Courier New"/>
      </w:rPr>
    </w:lvl>
    <w:lvl w:ilvl="5" w:tplc="5F0B4288">
      <w:start w:val="1"/>
      <w:numFmt w:val="bullet"/>
      <w:suff w:val="tab"/>
      <w:lvlText w:val=""/>
      <w:lvlJc w:val="left"/>
      <w:pPr>
        <w:ind w:hanging="360" w:left="4320"/>
        <w:tabs>
          <w:tab w:val="left" w:pos="4320" w:leader="none"/>
        </w:tabs>
      </w:pPr>
      <w:rPr>
        <w:rFonts w:ascii="Wingdings" w:hAnsi="Wingdings"/>
      </w:rPr>
    </w:lvl>
    <w:lvl w:ilvl="6" w:tplc="58432B4C">
      <w:start w:val="1"/>
      <w:numFmt w:val="bullet"/>
      <w:suff w:val="tab"/>
      <w:lvlText w:val=""/>
      <w:lvlJc w:val="left"/>
      <w:pPr>
        <w:ind w:hanging="360" w:left="5040"/>
        <w:tabs>
          <w:tab w:val="left" w:pos="5040" w:leader="none"/>
        </w:tabs>
      </w:pPr>
      <w:rPr>
        <w:rFonts w:ascii="Symbol" w:hAnsi="Symbol"/>
      </w:rPr>
    </w:lvl>
    <w:lvl w:ilvl="7" w:tplc="104B1667">
      <w:start w:val="1"/>
      <w:numFmt w:val="bullet"/>
      <w:suff w:val="tab"/>
      <w:lvlText w:val="o"/>
      <w:lvlJc w:val="left"/>
      <w:pPr>
        <w:ind w:hanging="360" w:left="5760"/>
        <w:tabs>
          <w:tab w:val="left" w:pos="5760" w:leader="none"/>
        </w:tabs>
      </w:pPr>
      <w:rPr>
        <w:rFonts w:ascii="Courier New" w:hAnsi="Courier New"/>
      </w:rPr>
    </w:lvl>
    <w:lvl w:ilvl="8" w:tplc="57020E0D">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3B590DD">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5EF22D19"/>
    <w:multiLevelType w:val="multilevel"/>
    <w:lvl w:ilvl="0">
      <w:start w:val="1"/>
      <w:numFmt w:val="lowerLetter"/>
      <w:suff w:val="tab"/>
      <w:lvlText w:val="%1)"/>
      <w:lvlJc w:val="left"/>
      <w:pPr>
        <w:ind w:hanging="360" w:left="360"/>
        <w:tabs>
          <w:tab w:val="left" w:pos="360" w:leader="none"/>
        </w:tabs>
      </w:pPr>
      <w:rPr>
        <w:b w:val="1"/>
        <w:sz w:val="24"/>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92F0658"/>
    <w:multiLevelType w:val="multilevel"/>
    <w:lvl w:ilvl="0">
      <w:start w:val="1"/>
      <w:numFmt w:val="lowerLetter"/>
      <w:suff w:val="tab"/>
      <w:lvlText w:val="%1)"/>
      <w:lvlJc w:val="left"/>
      <w:pPr>
        <w:ind w:hanging="360" w:left="720"/>
        <w:tabs>
          <w:tab w:val="left" w:pos="720" w:leader="none"/>
        </w:tabs>
      </w:pPr>
      <w:rPr>
        <w:b w:val="1"/>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4"/>
  </w:num>
  <w:num w:numId="5">
    <w:abstractNumId w:val="29"/>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3"/>
  </w:num>
  <w:num w:numId="14">
    <w:abstractNumId w:val="28"/>
  </w:num>
  <w:num w:numId="15">
    <w:abstractNumId w:val="26"/>
  </w:num>
  <w:num w:numId="16">
    <w:abstractNumId w:val="15"/>
  </w:num>
  <w:num w:numId="17">
    <w:abstractNumId w:val="16"/>
  </w:num>
  <w:num w:numId="18">
    <w:abstractNumId w:val="30"/>
  </w:num>
  <w:num w:numId="19">
    <w:abstractNumId w:val="10"/>
  </w:num>
  <w:num w:numId="20">
    <w:abstractNumId w:val="4"/>
  </w:num>
  <w:num w:numId="21">
    <w:abstractNumId w:val="1"/>
  </w:num>
  <w:num w:numId="22">
    <w:abstractNumId w:val="20"/>
  </w:num>
  <w:num w:numId="23">
    <w:abstractNumId w:val="31"/>
  </w:num>
  <w:num w:numId="24">
    <w:abstractNumId w:val="25"/>
  </w:num>
  <w:num w:numId="25">
    <w:abstractNumId w:val="11"/>
  </w:num>
  <w:num w:numId="26">
    <w:abstractNumId w:val="32"/>
  </w:num>
  <w:num w:numId="27">
    <w:abstractNumId w:val="2"/>
  </w:num>
  <w:num w:numId="28">
    <w:abstractNumId w:val="23"/>
  </w:num>
  <w:num w:numId="29">
    <w:abstractNumId w:val="5"/>
  </w:num>
  <w:num w:numId="30">
    <w:abstractNumId w:val="14"/>
  </w:num>
  <w:num w:numId="31">
    <w:abstractNumId w:val="0"/>
  </w:num>
  <w:num w:numId="32">
    <w:abstractNumId w:val="12"/>
  </w:num>
  <w:num w:numId="33">
    <w:abstractNumId w:val="27"/>
  </w:num>
  <w:num w:numId="34">
    <w:abstractNumId w:val="2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2010-12-13T15:16:00Z</dcterms:created>
  <cp:lastModifiedBy>Ethan Puglia</cp:lastModifiedBy>
  <cp:lastPrinted>2010-12-06T15:27:00Z</cp:lastPrinted>
  <dcterms:modified xsi:type="dcterms:W3CDTF">2019-03-28T17:34:27Z</dcterms:modified>
  <cp:revision>7</cp:revision>
  <dc:title>PROYECTO DE ORDENANZA VIOLENCIA FAMILIAR</dc:title>
</cp:coreProperties>
</file>