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B8ABE49" Type="http://schemas.openxmlformats.org/officeDocument/2006/relationships/officeDocument" Target="/word/document.xml" /><Relationship Id="coreR3B8ABE4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8801</w:t>
      </w:r>
    </w:p>
    <w:p/>
    <w:p/>
    <w:p>
      <w:pPr>
        <w:ind w:hanging="426" w:left="426"/>
        <w:jc w:val="both"/>
        <w:rPr>
          <w:rStyle w:val="C3"/>
          <w:rFonts w:ascii="Courier New" w:hAnsi="Courier New"/>
        </w:rPr>
      </w:pPr>
      <w:r>
        <w:rPr>
          <w:rStyle w:val="C3"/>
          <w:rFonts w:ascii="Courier New" w:hAnsi="Courier New"/>
        </w:rPr>
        <w:t>Visto: La creación del “Fondo Provincial para Obras Públicas de Infraestructura Municipal y Comunal” por Ley Provincial Nº 9740/10 y su Decreto Reglamentario Nº 1566/10; y</w:t>
      </w:r>
    </w:p>
    <w:p>
      <w:pPr>
        <w:tabs>
          <w:tab w:val="left" w:pos="5255" w:leader="none"/>
        </w:tabs>
        <w:ind w:hanging="561" w:left="561"/>
        <w:jc w:val="both"/>
        <w:rPr>
          <w:rStyle w:val="C3"/>
          <w:rFonts w:ascii="Courier New" w:hAnsi="Courier New"/>
        </w:rPr>
      </w:pPr>
      <w:r>
        <w:rPr>
          <w:rStyle w:val="C3"/>
          <w:rFonts w:ascii="Courier New" w:hAnsi="Courier New"/>
        </w:rPr>
        <w:tab/>
        <w:tab/>
      </w:r>
    </w:p>
    <w:p>
      <w:pPr>
        <w:tabs>
          <w:tab w:val="left" w:pos="5255" w:leader="none"/>
        </w:tabs>
        <w:ind w:hanging="561" w:left="561"/>
        <w:jc w:val="both"/>
        <w:rPr>
          <w:rStyle w:val="C3"/>
          <w:rFonts w:ascii="Courier New" w:hAnsi="Courier New"/>
        </w:rPr>
      </w:pPr>
    </w:p>
    <w:p>
      <w:pPr>
        <w:pStyle w:val="P2"/>
      </w:pPr>
      <w:r>
        <w:t>C O N S I D E R A N D O</w:t>
      </w:r>
    </w:p>
    <w:p>
      <w:pPr>
        <w:tabs>
          <w:tab w:val="left" w:pos="2824" w:leader="none"/>
        </w:tabs>
      </w:pPr>
      <w:r>
        <w:tab/>
      </w:r>
    </w:p>
    <w:p>
      <w:pPr>
        <w:tabs>
          <w:tab w:val="left" w:pos="2824" w:leader="none"/>
        </w:tabs>
      </w:pPr>
    </w:p>
    <w:p>
      <w:pPr>
        <w:ind w:left="426"/>
        <w:jc w:val="both"/>
        <w:rPr>
          <w:rStyle w:val="C3"/>
          <w:rFonts w:ascii="Courier New" w:hAnsi="Courier New"/>
        </w:rPr>
      </w:pPr>
      <w:r>
        <w:rPr>
          <w:rStyle w:val="C3"/>
          <w:rFonts w:ascii="Courier New" w:hAnsi="Courier New"/>
        </w:rPr>
        <w:t xml:space="preserve">Que dichos fondos se conforman e </w:t>
      </w:r>
      <w:r>
        <w:rPr>
          <w:rStyle w:val="C3"/>
          <w:rFonts w:ascii="Courier New" w:hAnsi="Courier New"/>
          <w:color w:val="2F2F2F"/>
        </w:rPr>
        <w:t>integran con los recursos provenientes de las operaciones de crédito público autorizadas en la presente Ley, hasta la suma de DÓLARES ESTADOUNIDENSES SETENTA MILLONES (U$S 70.000.000,00) o su equivalente en pesos u otras monedas</w:t>
      </w:r>
      <w:r>
        <w:rPr>
          <w:rStyle w:val="C3"/>
          <w:rFonts w:ascii="Courier New" w:hAnsi="Courier New"/>
        </w:rPr>
        <w:t xml:space="preserve"> del crédito internacional;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Art.3º de la Ley y Decreto Reglamentario de referencia, prevé que del CIEN POR CIENTO (100%) del Fondo antes mencionado, el CINCUENTA POR CIENTO (50%) de la amortización del mismo, tanto del capital como de servicio de deuda es a cargo de la Provincia de Córdoba y el CINCUENTA POR CIENTO (50%) restante a cargo de las Municipalidades o Comunas que adhieran al Fondo, en la proporción del monto a que acceda cada uno, estableciendo que los intereses serán devengados a partir de cada desembolso;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el crédito es a SIETE (7) años, con una tasa de interés del 12,375% anual y el pago del capital e intereses se efectuará de la siguiente manera: durante los seis primeros años semestrales se hará efectiva la entrega  sólo  del  servicio  de  la deuda, aportando el </w:t>
      </w:r>
    </w:p>
    <w:p>
      <w:pPr>
        <w:ind w:left="426"/>
        <w:jc w:val="right"/>
        <w:rPr>
          <w:rStyle w:val="C3"/>
          <w:rFonts w:ascii="Courier New" w:hAnsi="Courier New"/>
          <w:u w:val="single"/>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jc w:val="left"/>
        <w:rPr>
          <w:rStyle w:val="C3"/>
          <w:b w:val="1"/>
          <w:u w:val="none"/>
        </w:rPr>
      </w:pPr>
    </w:p>
    <w:p>
      <w:pPr>
        <w:pStyle w:val="P4"/>
        <w:jc w:val="left"/>
        <w:rPr>
          <w:rStyle w:val="C3"/>
          <w:b w:val="1"/>
          <w:u w:val="none"/>
        </w:rPr>
      </w:pPr>
      <w:r>
        <w:rPr>
          <w:rStyle w:val="C3"/>
          <w:b w:val="0"/>
          <w:u w:val="none"/>
        </w:rPr>
        <w:t>...///2.-</w:t>
      </w:r>
    </w:p>
    <w:p>
      <w:pPr>
        <w:pStyle w:val="P4"/>
        <w:rPr>
          <w:rStyle w:val="C3"/>
        </w:rPr>
      </w:pPr>
    </w:p>
    <w:p>
      <w:pPr>
        <w:ind w:left="426"/>
        <w:jc w:val="both"/>
        <w:rPr>
          <w:rStyle w:val="C3"/>
          <w:rFonts w:ascii="Courier New" w:hAnsi="Courier New"/>
        </w:rPr>
      </w:pPr>
      <w:r>
        <w:rPr>
          <w:rStyle w:val="C3"/>
          <w:rFonts w:ascii="Courier New" w:hAnsi="Courier New"/>
        </w:rPr>
        <w:t>CINCUENTA POR CIENTO (50%) la Provincia y descontando de la Coparticipación Impositiva el CINCUENTA POR CIENTO (50%) a cargo del Estado Municipal. El capital será devuelto en forma integra en el año 2017, siendo también el CINCUENTA POR CIENTO (50%) a cargo de la Provincia y el CINCUENTA POR CIENTO (50%) restante descontado de la Coparticipación Impositiva;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es sumamente conveniente efectuar la correspondiente adhesión al fondo en cuestión puesto que significa un interesante apoyo financiero para la realización de obras que la ciudad necesita;</w:t>
      </w:r>
    </w:p>
    <w:p>
      <w:pPr>
        <w:pStyle w:val="P11"/>
        <w:jc w:val="right"/>
        <w:rPr>
          <w:rStyle w:val="C3"/>
        </w:rPr>
      </w:pPr>
    </w:p>
    <w:p>
      <w:pPr>
        <w:ind w:left="426"/>
        <w:jc w:val="both"/>
        <w:rPr>
          <w:rStyle w:val="C3"/>
          <w:rFonts w:ascii="Courier New" w:hAnsi="Courier New"/>
        </w:rPr>
      </w:pPr>
      <w:r>
        <w:rPr>
          <w:rStyle w:val="C3"/>
          <w:rFonts w:ascii="Courier New" w:hAnsi="Courier New"/>
        </w:rPr>
        <w:t>Que analizado el Proyecto de Ordenanza de referencia por la totalidad de los Concejales Presentes, se resuelve su aprobación por unanimidad en Sesión Extraordinaria del día 07 de Diciembre de 2010.-</w:t>
      </w:r>
    </w:p>
    <w:p>
      <w:pPr>
        <w:pStyle w:val="P11"/>
        <w:jc w:val="right"/>
        <w:rPr>
          <w:rStyle w:val="C3"/>
        </w:rPr>
      </w:pPr>
    </w:p>
    <w:p>
      <w:pPr>
        <w:pStyle w:val="P11"/>
        <w:jc w:val="right"/>
        <w:rPr>
          <w:rStyle w:val="C3"/>
        </w:rPr>
      </w:pPr>
    </w:p>
    <w:p>
      <w:pPr>
        <w:pStyle w:val="P11"/>
        <w:jc w:val="left"/>
        <w:rPr>
          <w:rStyle w:val="C3"/>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pStyle w:val="P11"/>
        <w:jc w:val="right"/>
        <w:rPr>
          <w:rStyle w:val="C3"/>
        </w:rPr>
      </w:pPr>
    </w:p>
    <w:p>
      <w:pPr>
        <w:pStyle w:val="P4"/>
        <w:rPr>
          <w:rStyle w:val="C3"/>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rt.1</w:t>
      </w:r>
      <w:r>
        <w:rPr>
          <w:rStyle w:val="C3"/>
          <w:rFonts w:ascii="Courier New" w:hAnsi="Courier New"/>
          <w:b w:val="1"/>
        </w:rPr>
        <w:t xml:space="preserve">: </w:t>
      </w:r>
      <w:r>
        <w:rPr>
          <w:rStyle w:val="C3"/>
          <w:rFonts w:ascii="Courier New" w:hAnsi="Courier New"/>
          <w:b w:val="1"/>
        </w:rPr>
        <w:t>ADHIÉRASE</w:t>
      </w:r>
      <w:r>
        <w:rPr>
          <w:rStyle w:val="C3"/>
          <w:rFonts w:ascii="Courier New" w:hAnsi="Courier New"/>
        </w:rPr>
        <w:t xml:space="preserve"> la Municipalidad de Alta Gracia al “FONDO PROVINCIAL PARA OBRAS PÚBLICAS DE INFRAESTRUCTURA MUNICIPAL Y COMUNAL” creado por Ley Nº 9740 y su Decreto Reglamentario Nº 1566/2010, o las normas que en el futuro las modifiquen o sustituyan.-</w:t>
      </w:r>
    </w:p>
    <w:p>
      <w:pPr>
        <w:ind w:hanging="360" w:left="360"/>
        <w:jc w:val="both"/>
        <w:rPr>
          <w:rStyle w:val="C3"/>
          <w:rFonts w:ascii="Courier New" w:hAnsi="Courier New"/>
          <w:b w:val="1"/>
          <w:u w:val="single"/>
        </w:rPr>
      </w:pPr>
    </w:p>
    <w:p>
      <w:pPr>
        <w:ind w:hanging="360" w:left="360"/>
        <w:jc w:val="right"/>
        <w:rPr>
          <w:rStyle w:val="C3"/>
          <w:rFonts w:ascii="Courier New" w:hAnsi="Courier New"/>
        </w:rPr>
      </w:pPr>
      <w:r>
        <w:rPr>
          <w:rStyle w:val="C3"/>
          <w:rFonts w:ascii="Courier New" w:hAnsi="Courier New"/>
        </w:rPr>
        <w:t>...///</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jc w:val="left"/>
        <w:rPr>
          <w:rStyle w:val="C3"/>
        </w:rPr>
      </w:pPr>
    </w:p>
    <w:p>
      <w:pPr>
        <w:pStyle w:val="P11"/>
        <w:jc w:val="left"/>
      </w:pPr>
      <w:r>
        <w:t>...///3.-</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comuníquese al Departamento Ejecutivo, publíquese en el Boletín Oficial de la ciudad de Alta Gracia, dése al Registro Municipal, a la Secretaría de Gobierno dependiente del Ministerio de Gobierno de la Provincia de Córdoba a sus efectos, incorpórese al Libro de Ordenanzas y archívese.-</w:t>
      </w:r>
    </w:p>
    <w:p>
      <w:pPr>
        <w:ind w:hanging="360" w:left="360"/>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SIETE DÍAS DEL MES DE DICIEMBRE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1DDF6578">
      <w:start w:val="0"/>
      <w:numFmt w:val="bullet"/>
      <w:suff w:val="tab"/>
      <w:lvlText w:val=""/>
      <w:lvlJc w:val="left"/>
      <w:pPr>
        <w:ind w:hanging="360" w:left="927"/>
      </w:pPr>
      <w:rPr>
        <w:rFonts w:ascii="Symbol" w:hAnsi="Symbol"/>
      </w:rPr>
    </w:lvl>
    <w:lvl w:ilvl="1" w:tplc="3137FA26">
      <w:start w:val="1"/>
      <w:numFmt w:val="bullet"/>
      <w:suff w:val="tab"/>
      <w:lvlText w:val="o"/>
      <w:lvlJc w:val="left"/>
      <w:pPr>
        <w:ind w:hanging="360" w:left="1647"/>
      </w:pPr>
      <w:rPr>
        <w:rFonts w:ascii="Courier New" w:hAnsi="Courier New"/>
      </w:rPr>
    </w:lvl>
    <w:lvl w:ilvl="2" w:tplc="24D26687">
      <w:start w:val="1"/>
      <w:numFmt w:val="bullet"/>
      <w:suff w:val="tab"/>
      <w:lvlText w:val=""/>
      <w:lvlJc w:val="left"/>
      <w:pPr>
        <w:ind w:hanging="360" w:left="2367"/>
      </w:pPr>
      <w:rPr>
        <w:rFonts w:ascii="Wingdings" w:hAnsi="Wingdings"/>
      </w:rPr>
    </w:lvl>
    <w:lvl w:ilvl="3" w:tplc="11F7181B">
      <w:start w:val="1"/>
      <w:numFmt w:val="bullet"/>
      <w:suff w:val="tab"/>
      <w:lvlText w:val=""/>
      <w:lvlJc w:val="left"/>
      <w:pPr>
        <w:ind w:hanging="360" w:left="3087"/>
      </w:pPr>
      <w:rPr>
        <w:rFonts w:ascii="Symbol" w:hAnsi="Symbol"/>
      </w:rPr>
    </w:lvl>
    <w:lvl w:ilvl="4" w:tplc="6816AA6C">
      <w:start w:val="1"/>
      <w:numFmt w:val="bullet"/>
      <w:suff w:val="tab"/>
      <w:lvlText w:val="o"/>
      <w:lvlJc w:val="left"/>
      <w:pPr>
        <w:ind w:hanging="360" w:left="3807"/>
      </w:pPr>
      <w:rPr>
        <w:rFonts w:ascii="Courier New" w:hAnsi="Courier New"/>
      </w:rPr>
    </w:lvl>
    <w:lvl w:ilvl="5" w:tplc="304EFBE3">
      <w:start w:val="1"/>
      <w:numFmt w:val="bullet"/>
      <w:suff w:val="tab"/>
      <w:lvlText w:val=""/>
      <w:lvlJc w:val="left"/>
      <w:pPr>
        <w:ind w:hanging="360" w:left="4527"/>
      </w:pPr>
      <w:rPr>
        <w:rFonts w:ascii="Wingdings" w:hAnsi="Wingdings"/>
      </w:rPr>
    </w:lvl>
    <w:lvl w:ilvl="6" w:tplc="469E978C">
      <w:start w:val="1"/>
      <w:numFmt w:val="bullet"/>
      <w:suff w:val="tab"/>
      <w:lvlText w:val=""/>
      <w:lvlJc w:val="left"/>
      <w:pPr>
        <w:ind w:hanging="360" w:left="5247"/>
      </w:pPr>
      <w:rPr>
        <w:rFonts w:ascii="Symbol" w:hAnsi="Symbol"/>
      </w:rPr>
    </w:lvl>
    <w:lvl w:ilvl="7" w:tplc="5549CC0C">
      <w:start w:val="1"/>
      <w:numFmt w:val="bullet"/>
      <w:suff w:val="tab"/>
      <w:lvlText w:val="o"/>
      <w:lvlJc w:val="left"/>
      <w:pPr>
        <w:ind w:hanging="360" w:left="5967"/>
      </w:pPr>
      <w:rPr>
        <w:rFonts w:ascii="Courier New" w:hAnsi="Courier New"/>
      </w:rPr>
    </w:lvl>
    <w:lvl w:ilvl="8" w:tplc="6F3E8F9A">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4F80AB1A">
      <w:start w:val="0"/>
      <w:numFmt w:val="bullet"/>
      <w:suff w:val="tab"/>
      <w:lvlText w:val="-"/>
      <w:lvlJc w:val="left"/>
      <w:pPr>
        <w:ind w:hanging="360" w:left="720"/>
        <w:tabs>
          <w:tab w:val="left" w:pos="720" w:leader="none"/>
        </w:tabs>
      </w:pPr>
      <w:rPr>
        <w:rFonts w:ascii="Times New Roman" w:hAnsi="Times New Roman"/>
      </w:rPr>
    </w:lvl>
    <w:lvl w:ilvl="1" w:tplc="2B2FDF7F">
      <w:start w:val="1"/>
      <w:numFmt w:val="bullet"/>
      <w:suff w:val="tab"/>
      <w:lvlText w:val="o"/>
      <w:lvlJc w:val="left"/>
      <w:pPr>
        <w:ind w:hanging="360" w:left="1440"/>
        <w:tabs>
          <w:tab w:val="left" w:pos="1440" w:leader="none"/>
        </w:tabs>
      </w:pPr>
      <w:rPr>
        <w:rFonts w:ascii="Courier New" w:hAnsi="Courier New"/>
      </w:rPr>
    </w:lvl>
    <w:lvl w:ilvl="2" w:tplc="4A6E5206">
      <w:start w:val="1"/>
      <w:numFmt w:val="bullet"/>
      <w:suff w:val="tab"/>
      <w:lvlText w:val=""/>
      <w:lvlJc w:val="left"/>
      <w:pPr>
        <w:ind w:hanging="360" w:left="2160"/>
        <w:tabs>
          <w:tab w:val="left" w:pos="2160" w:leader="none"/>
        </w:tabs>
      </w:pPr>
      <w:rPr>
        <w:rFonts w:ascii="Wingdings" w:hAnsi="Wingdings"/>
      </w:rPr>
    </w:lvl>
    <w:lvl w:ilvl="3" w:tplc="5D6781B7">
      <w:start w:val="1"/>
      <w:numFmt w:val="bullet"/>
      <w:suff w:val="tab"/>
      <w:lvlText w:val=""/>
      <w:lvlJc w:val="left"/>
      <w:pPr>
        <w:ind w:hanging="360" w:left="2880"/>
        <w:tabs>
          <w:tab w:val="left" w:pos="2880" w:leader="none"/>
        </w:tabs>
      </w:pPr>
      <w:rPr>
        <w:rFonts w:ascii="Symbol" w:hAnsi="Symbol"/>
      </w:rPr>
    </w:lvl>
    <w:lvl w:ilvl="4" w:tplc="55B05EE6">
      <w:start w:val="1"/>
      <w:numFmt w:val="bullet"/>
      <w:suff w:val="tab"/>
      <w:lvlText w:val="o"/>
      <w:lvlJc w:val="left"/>
      <w:pPr>
        <w:ind w:hanging="360" w:left="3600"/>
        <w:tabs>
          <w:tab w:val="left" w:pos="3600" w:leader="none"/>
        </w:tabs>
      </w:pPr>
      <w:rPr>
        <w:rFonts w:ascii="Courier New" w:hAnsi="Courier New"/>
      </w:rPr>
    </w:lvl>
    <w:lvl w:ilvl="5" w:tplc="09D19F9C">
      <w:start w:val="1"/>
      <w:numFmt w:val="bullet"/>
      <w:suff w:val="tab"/>
      <w:lvlText w:val=""/>
      <w:lvlJc w:val="left"/>
      <w:pPr>
        <w:ind w:hanging="360" w:left="4320"/>
        <w:tabs>
          <w:tab w:val="left" w:pos="4320" w:leader="none"/>
        </w:tabs>
      </w:pPr>
      <w:rPr>
        <w:rFonts w:ascii="Wingdings" w:hAnsi="Wingdings"/>
      </w:rPr>
    </w:lvl>
    <w:lvl w:ilvl="6" w:tplc="27683E3E">
      <w:start w:val="1"/>
      <w:numFmt w:val="bullet"/>
      <w:suff w:val="tab"/>
      <w:lvlText w:val=""/>
      <w:lvlJc w:val="left"/>
      <w:pPr>
        <w:ind w:hanging="360" w:left="5040"/>
        <w:tabs>
          <w:tab w:val="left" w:pos="5040" w:leader="none"/>
        </w:tabs>
      </w:pPr>
      <w:rPr>
        <w:rFonts w:ascii="Symbol" w:hAnsi="Symbol"/>
      </w:rPr>
    </w:lvl>
    <w:lvl w:ilvl="7" w:tplc="21DAE095">
      <w:start w:val="1"/>
      <w:numFmt w:val="bullet"/>
      <w:suff w:val="tab"/>
      <w:lvlText w:val="o"/>
      <w:lvlJc w:val="left"/>
      <w:pPr>
        <w:ind w:hanging="360" w:left="5760"/>
        <w:tabs>
          <w:tab w:val="left" w:pos="5760" w:leader="none"/>
        </w:tabs>
      </w:pPr>
      <w:rPr>
        <w:rFonts w:ascii="Courier New" w:hAnsi="Courier New"/>
      </w:rPr>
    </w:lvl>
    <w:lvl w:ilvl="8" w:tplc="57E013EA">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621E8905">
      <w:start w:val="1"/>
      <w:numFmt w:val="bullet"/>
      <w:suff w:val="tab"/>
      <w:lvlText w:val=""/>
      <w:lvlJc w:val="left"/>
      <w:pPr>
        <w:ind w:hanging="360" w:left="720"/>
        <w:tabs>
          <w:tab w:val="left" w:pos="720" w:leader="none"/>
        </w:tabs>
      </w:pPr>
      <w:rPr>
        <w:rFonts w:ascii="Symbol" w:hAnsi="Symbol"/>
      </w:rPr>
    </w:lvl>
    <w:lvl w:ilvl="1" w:tplc="258BB993">
      <w:start w:val="1"/>
      <w:numFmt w:val="bullet"/>
      <w:suff w:val="tab"/>
      <w:lvlText w:val="o"/>
      <w:lvlJc w:val="left"/>
      <w:pPr>
        <w:ind w:hanging="360" w:left="1440"/>
        <w:tabs>
          <w:tab w:val="left" w:pos="1440" w:leader="none"/>
        </w:tabs>
      </w:pPr>
      <w:rPr>
        <w:rFonts w:ascii="Courier New" w:hAnsi="Courier New"/>
      </w:rPr>
    </w:lvl>
    <w:lvl w:ilvl="2" w:tplc="01FC36E4">
      <w:start w:val="1"/>
      <w:numFmt w:val="bullet"/>
      <w:suff w:val="tab"/>
      <w:lvlText w:val=""/>
      <w:lvlJc w:val="left"/>
      <w:pPr>
        <w:ind w:hanging="360" w:left="2160"/>
        <w:tabs>
          <w:tab w:val="left" w:pos="2160" w:leader="none"/>
        </w:tabs>
      </w:pPr>
      <w:rPr>
        <w:rFonts w:ascii="Wingdings" w:hAnsi="Wingdings"/>
      </w:rPr>
    </w:lvl>
    <w:lvl w:ilvl="3" w:tplc="4DD6C945">
      <w:start w:val="1"/>
      <w:numFmt w:val="bullet"/>
      <w:suff w:val="tab"/>
      <w:lvlText w:val=""/>
      <w:lvlJc w:val="left"/>
      <w:pPr>
        <w:ind w:hanging="360" w:left="2880"/>
        <w:tabs>
          <w:tab w:val="left" w:pos="2880" w:leader="none"/>
        </w:tabs>
      </w:pPr>
      <w:rPr>
        <w:rFonts w:ascii="Symbol" w:hAnsi="Symbol"/>
      </w:rPr>
    </w:lvl>
    <w:lvl w:ilvl="4" w:tplc="55A0915E">
      <w:start w:val="1"/>
      <w:numFmt w:val="bullet"/>
      <w:suff w:val="tab"/>
      <w:lvlText w:val="o"/>
      <w:lvlJc w:val="left"/>
      <w:pPr>
        <w:ind w:hanging="360" w:left="3600"/>
        <w:tabs>
          <w:tab w:val="left" w:pos="3600" w:leader="none"/>
        </w:tabs>
      </w:pPr>
      <w:rPr>
        <w:rFonts w:ascii="Courier New" w:hAnsi="Courier New"/>
      </w:rPr>
    </w:lvl>
    <w:lvl w:ilvl="5" w:tplc="50E3F51F">
      <w:start w:val="1"/>
      <w:numFmt w:val="bullet"/>
      <w:suff w:val="tab"/>
      <w:lvlText w:val=""/>
      <w:lvlJc w:val="left"/>
      <w:pPr>
        <w:ind w:hanging="360" w:left="4320"/>
        <w:tabs>
          <w:tab w:val="left" w:pos="4320" w:leader="none"/>
        </w:tabs>
      </w:pPr>
      <w:rPr>
        <w:rFonts w:ascii="Wingdings" w:hAnsi="Wingdings"/>
      </w:rPr>
    </w:lvl>
    <w:lvl w:ilvl="6" w:tplc="329EB45A">
      <w:start w:val="1"/>
      <w:numFmt w:val="bullet"/>
      <w:suff w:val="tab"/>
      <w:lvlText w:val=""/>
      <w:lvlJc w:val="left"/>
      <w:pPr>
        <w:ind w:hanging="360" w:left="5040"/>
        <w:tabs>
          <w:tab w:val="left" w:pos="5040" w:leader="none"/>
        </w:tabs>
      </w:pPr>
      <w:rPr>
        <w:rFonts w:ascii="Symbol" w:hAnsi="Symbol"/>
      </w:rPr>
    </w:lvl>
    <w:lvl w:ilvl="7" w:tplc="2772610E">
      <w:start w:val="1"/>
      <w:numFmt w:val="bullet"/>
      <w:suff w:val="tab"/>
      <w:lvlText w:val="o"/>
      <w:lvlJc w:val="left"/>
      <w:pPr>
        <w:ind w:hanging="360" w:left="5760"/>
        <w:tabs>
          <w:tab w:val="left" w:pos="5760" w:leader="none"/>
        </w:tabs>
      </w:pPr>
      <w:rPr>
        <w:rFonts w:ascii="Courier New" w:hAnsi="Courier New"/>
      </w:rPr>
    </w:lvl>
    <w:lvl w:ilvl="8" w:tplc="35508FF9">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694BDDBB">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2010-12-07T16:27:00Z</dcterms:created>
  <cp:lastModifiedBy>Ethan Puglia</cp:lastModifiedBy>
  <cp:lastPrinted>2010-12-09T10:06:00Z</cp:lastPrinted>
  <dcterms:modified xsi:type="dcterms:W3CDTF">2019-03-28T17:34:27Z</dcterms:modified>
  <cp:revision>10</cp:revision>
  <dc:title>PROYECTO DE ORDENANZA VIOLENCIA FAMILIAR</dc:title>
</cp:coreProperties>
</file>