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AABB51" Type="http://schemas.openxmlformats.org/officeDocument/2006/relationships/officeDocument" Target="/word/document.xml" /><Relationship Id="coreR7AABB5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Courier New" w:hAnsi="Courier New"/>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8808</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Visto: La festividad de Nuestra Señora de Lourdes, el próximo 11 de Febrero del año 2011; y</w:t>
      </w: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tabs>
          <w:tab w:val="left" w:pos="2824" w:leader="none"/>
        </w:tabs>
        <w:rPr>
          <w:rStyle w:val="C3"/>
          <w:rFonts w:ascii="Courier New" w:hAnsi="Courier New"/>
        </w:rPr>
      </w:pPr>
      <w:r>
        <w:rPr>
          <w:rStyle w:val="C3"/>
          <w:rFonts w:ascii="Courier New" w:hAnsi="Courier New"/>
        </w:rPr>
        <w:tab/>
      </w:r>
    </w:p>
    <w:p>
      <w:pPr>
        <w:tabs>
          <w:tab w:val="left" w:pos="2824" w:leader="none"/>
        </w:tabs>
        <w:rPr>
          <w:rStyle w:val="C3"/>
          <w:rFonts w:ascii="Courier New" w:hAnsi="Courier New"/>
        </w:rPr>
      </w:pPr>
    </w:p>
    <w:p>
      <w:pPr>
        <w:pStyle w:val="P11"/>
        <w:ind w:left="426"/>
      </w:pPr>
      <w:r>
        <w:t>Que es necesario y conveniente organizar el desarrollo del mencionado acontecimiento, atento que el mismo congrega anualmente una multitud de asistentes;</w:t>
      </w:r>
    </w:p>
    <w:p>
      <w:pPr>
        <w:pStyle w:val="P11"/>
        <w:ind w:left="426"/>
      </w:pPr>
    </w:p>
    <w:p>
      <w:pPr>
        <w:pStyle w:val="P11"/>
        <w:ind w:left="426"/>
      </w:pPr>
      <w:r>
        <w:t>Que el Estado Municipal debe velar por la seguridad, tranquilidad y orden en este tipo de eventos, tanto para los peregrinos que nos visitan como para los vecinos de la Ciudad que viven en la zona y adyacencias;</w:t>
      </w:r>
    </w:p>
    <w:p>
      <w:pPr>
        <w:pStyle w:val="P11"/>
        <w:ind w:left="426"/>
      </w:pPr>
      <w:r>
        <w:t xml:space="preserve"> </w:t>
      </w:r>
    </w:p>
    <w:p>
      <w:pPr>
        <w:pStyle w:val="P11"/>
        <w:ind w:left="426"/>
      </w:pPr>
      <w:r>
        <w:t>Que es necesario determinar y organizar cuestiones que hacen al correcto desarrollo de la celebración;</w:t>
      </w:r>
    </w:p>
    <w:p>
      <w:pPr>
        <w:pStyle w:val="P11"/>
        <w:ind w:left="426"/>
      </w:pPr>
    </w:p>
    <w:p>
      <w:pPr>
        <w:pStyle w:val="P11"/>
        <w:ind w:left="426"/>
      </w:pPr>
      <w:r>
        <w:t>Que vecinos de calle Pedro Butori solicitan la no autorización de puestos de venta ambulante en los frentes de sus propiedades, lo que se hace de imposible realización teniendo en cuenta lo multitudinario de la convocatoria religiosa, con mas los innumerables comerciantes residentes y no residentes de la Ciudad que se llegan congregandose en dicho sector;</w:t>
      </w:r>
    </w:p>
    <w:p>
      <w:pPr>
        <w:pStyle w:val="P11"/>
        <w:ind w:left="426"/>
      </w:pPr>
    </w:p>
    <w:p>
      <w:pPr>
        <w:ind w:left="426"/>
        <w:jc w:val="both"/>
        <w:rPr>
          <w:rStyle w:val="C3"/>
          <w:rFonts w:ascii="Courier New" w:hAnsi="Courier New"/>
        </w:rPr>
      </w:pPr>
      <w:r>
        <w:rPr>
          <w:rStyle w:val="C3"/>
          <w:rFonts w:ascii="Courier New" w:hAnsi="Courier New"/>
        </w:rPr>
        <w:t xml:space="preserve">Que a sabiendas de que estos vecinos soportan el peso del evento en los días anteriores y posteriores al día festivo, es de justicia y de equidad social que lo recaudado en concepto de autorizaciones, luego de abonar </w:t>
      </w:r>
    </w:p>
    <w:p>
      <w:pPr>
        <w:ind w:left="426"/>
        <w:jc w:val="right"/>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hanging="426" w:left="426"/>
        <w:jc w:val="both"/>
        <w:rPr>
          <w:rStyle w:val="C3"/>
          <w:rFonts w:ascii="Courier New" w:hAnsi="Courier New"/>
          <w:b w:val="1"/>
          <w:u w:val="single"/>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los gastos propios de la festividad sea devuelto en obras públicas a los ciudadanos del sector, equiparando con ello el orden público con la tranquilidad privada menoscavada ante las cirscunstancias;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la Totalidad de los Concejales presentes, se resuelve por unanimidad su aprobación en Sesión Extraordinaria del día 22 de Diciembre de 2010.-</w:t>
      </w:r>
    </w:p>
    <w:p>
      <w:pPr>
        <w:pStyle w:val="P11"/>
        <w:jc w:val="right"/>
        <w:rPr>
          <w:rStyle w:val="C3"/>
        </w:rPr>
      </w:pPr>
    </w:p>
    <w:p>
      <w:pPr>
        <w:pStyle w:val="P11"/>
        <w:jc w:val="right"/>
        <w:rPr>
          <w:rStyle w:val="C3"/>
        </w:rPr>
      </w:pPr>
    </w:p>
    <w:p>
      <w:pPr>
        <w:pStyle w:val="P11"/>
        <w:jc w:val="lef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ind w:hanging="426" w:left="426"/>
        <w:jc w:val="both"/>
        <w:rPr>
          <w:rStyle w:val="C3"/>
          <w:rFonts w:ascii="Courier New" w:hAnsi="Courier New"/>
          <w:b w:val="1"/>
          <w:u w:val="single"/>
        </w:rPr>
      </w:pPr>
    </w:p>
    <w:p>
      <w:pPr>
        <w:pStyle w:val="P11"/>
        <w:ind w:hanging="561" w:left="561"/>
      </w:pPr>
      <w:r>
        <w:rPr>
          <w:rStyle w:val="C3"/>
          <w:b w:val="1"/>
          <w:u w:val="single"/>
        </w:rPr>
        <w:t>Art.1</w:t>
      </w:r>
      <w:r>
        <w:t xml:space="preserve">: </w:t>
      </w:r>
      <w:r>
        <w:rPr>
          <w:rStyle w:val="C3"/>
          <w:b w:val="1"/>
        </w:rPr>
        <w:t xml:space="preserve">AUTORÍZASE </w:t>
      </w:r>
      <w:r>
        <w:t xml:space="preserve">al Departamento Ejecutivo por medio de las Áreas que corresponda, los días 10, 11 y 12 de febrero de 2011, ante la festividad de Nuestra Sra. de Lourdes, a realizar cortes de calles en la zona del evento.- </w:t>
      </w:r>
    </w:p>
    <w:p>
      <w:pPr>
        <w:pStyle w:val="P11"/>
        <w:ind w:hanging="851" w:left="851"/>
      </w:pPr>
    </w:p>
    <w:p>
      <w:pPr>
        <w:pStyle w:val="P11"/>
        <w:ind w:hanging="561" w:left="561"/>
      </w:pPr>
      <w:r>
        <w:rPr>
          <w:rStyle w:val="C3"/>
          <w:b w:val="1"/>
          <w:u w:val="single"/>
        </w:rPr>
        <w:t>Art.2</w:t>
      </w:r>
      <w:r>
        <w:t xml:space="preserve">: </w:t>
      </w:r>
      <w:r>
        <w:rPr>
          <w:rStyle w:val="C3"/>
          <w:b w:val="1"/>
        </w:rPr>
        <w:t xml:space="preserve">AUTORÍZASE </w:t>
      </w:r>
      <w:r>
        <w:t xml:space="preserve">el cobro de estacionamiento en las zonas que el Departamento Ejecutivo determine, en un valor de PESOS DIEZ ($10,00) por día o en PESOS DOS ($2.00) por hora,  en beneficio de Centros Vecinales o ente público o privado de actividad social sin fines de lucro o permisionarios del servicio de control de estacionamiento medido, en la forma y reglamentación que establezca la autoridad de aplicación.-</w:t>
      </w:r>
    </w:p>
    <w:p>
      <w:pPr>
        <w:pStyle w:val="P11"/>
        <w:ind w:hanging="851" w:left="851"/>
        <w:jc w:val="right"/>
      </w:pPr>
    </w:p>
    <w:p>
      <w:pPr>
        <w:pStyle w:val="P11"/>
        <w:ind w:hanging="851" w:left="851"/>
        <w:jc w:val="right"/>
      </w:pPr>
      <w:r>
        <w:t>...///</w:t>
      </w:r>
    </w:p>
    <w:p>
      <w:pPr>
        <w:pStyle w:val="P11"/>
        <w:ind w:hanging="561" w:left="561"/>
        <w:rPr>
          <w:rStyle w:val="C3"/>
          <w:b w:val="1"/>
          <w:u w:val="single"/>
        </w:rPr>
      </w:pPr>
    </w:p>
    <w:p>
      <w:pPr>
        <w:pStyle w:val="P11"/>
        <w:ind w:hanging="561" w:left="561"/>
        <w:rPr>
          <w:rStyle w:val="C3"/>
          <w:b w:val="1"/>
          <w:u w:val="single"/>
        </w:rPr>
      </w:pPr>
    </w:p>
    <w:p>
      <w:pPr>
        <w:pStyle w:val="P11"/>
        <w:ind w:hanging="561" w:left="561"/>
        <w:rPr>
          <w:rStyle w:val="C3"/>
          <w:b w:val="1"/>
          <w:u w:val="single"/>
        </w:rPr>
      </w:pPr>
    </w:p>
    <w:p>
      <w:pPr>
        <w:pStyle w:val="P11"/>
        <w:ind w:hanging="561" w:left="561"/>
        <w:rPr>
          <w:rStyle w:val="C3"/>
          <w:b w:val="1"/>
          <w:u w:val="single"/>
        </w:rPr>
      </w:pPr>
    </w:p>
    <w:p>
      <w:pPr>
        <w:pStyle w:val="P11"/>
        <w:ind w:hanging="561" w:left="561"/>
        <w:rPr>
          <w:rStyle w:val="C3"/>
          <w:b w:val="1"/>
          <w:u w:val="single"/>
        </w:rPr>
      </w:pPr>
    </w:p>
    <w:p>
      <w:pPr>
        <w:pStyle w:val="P11"/>
        <w:ind w:hanging="561" w:left="561"/>
        <w:rPr>
          <w:rStyle w:val="C3"/>
          <w:b w:val="1"/>
          <w:u w:val="single"/>
        </w:rPr>
      </w:pPr>
    </w:p>
    <w:p>
      <w:pPr>
        <w:pStyle w:val="P11"/>
        <w:ind w:hanging="561" w:left="561"/>
        <w:rPr>
          <w:rStyle w:val="C3"/>
          <w:b w:val="1"/>
          <w:u w:val="single"/>
        </w:rPr>
      </w:pPr>
    </w:p>
    <w:p>
      <w:pPr>
        <w:pStyle w:val="P11"/>
        <w:ind w:hanging="561" w:left="561"/>
        <w:rPr>
          <w:rStyle w:val="C3"/>
          <w:b w:val="1"/>
          <w:u w:val="single"/>
        </w:rPr>
      </w:pPr>
    </w:p>
    <w:p>
      <w:pPr>
        <w:pStyle w:val="P11"/>
        <w:ind w:hanging="561" w:left="561"/>
        <w:rPr>
          <w:rStyle w:val="C3"/>
          <w:b w:val="1"/>
          <w:u w:val="single"/>
        </w:rPr>
      </w:pPr>
    </w:p>
    <w:p>
      <w:pPr>
        <w:pStyle w:val="P11"/>
        <w:ind w:hanging="561" w:left="561"/>
        <w:rPr>
          <w:rStyle w:val="C3"/>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...///3.-</w:t>
      </w:r>
    </w:p>
    <w:p>
      <w:pPr>
        <w:ind w:left="426"/>
        <w:jc w:val="both"/>
        <w:rPr>
          <w:rStyle w:val="C3"/>
          <w:rFonts w:ascii="Courier New" w:hAnsi="Courier New"/>
        </w:rPr>
      </w:pPr>
    </w:p>
    <w:p>
      <w:pPr>
        <w:pStyle w:val="P11"/>
        <w:ind w:hanging="561" w:left="561"/>
      </w:pPr>
      <w:r>
        <w:rPr>
          <w:rStyle w:val="C3"/>
          <w:b w:val="1"/>
          <w:u w:val="single"/>
        </w:rPr>
        <w:t>Art.3</w:t>
      </w:r>
      <w:r>
        <w:t>:</w:t>
      </w:r>
      <w:r>
        <w:rPr>
          <w:rStyle w:val="C3"/>
          <w:b w:val="1"/>
        </w:rPr>
        <w:t xml:space="preserve"> PROHÍB</w:t>
      </w:r>
      <w:r>
        <w:rPr>
          <w:rStyle w:val="C3"/>
          <w:b w:val="1"/>
        </w:rPr>
        <w:t>A</w:t>
      </w:r>
      <w:r>
        <w:rPr>
          <w:rStyle w:val="C3"/>
          <w:b w:val="1"/>
        </w:rPr>
        <w:t xml:space="preserve">SE </w:t>
      </w:r>
      <w:r>
        <w:t>la instalación de todo tipo de rodados tipo motorhome y/o similares y el estacionamiento de vehículos particulares, minibuses, colectivos, etc., en lugares no autorizados a tal fin.-</w:t>
      </w:r>
    </w:p>
    <w:p>
      <w:pPr>
        <w:pStyle w:val="P11"/>
        <w:ind w:hanging="851" w:left="851"/>
      </w:pPr>
    </w:p>
    <w:p>
      <w:pPr>
        <w:pStyle w:val="P11"/>
        <w:ind w:hanging="561" w:left="561"/>
      </w:pPr>
      <w:r>
        <w:rPr>
          <w:rStyle w:val="C3"/>
          <w:b w:val="1"/>
          <w:u w:val="single"/>
        </w:rPr>
        <w:t>Art.4</w:t>
      </w:r>
      <w:r>
        <w:t>:</w:t>
      </w:r>
      <w:r>
        <w:rPr>
          <w:rStyle w:val="C3"/>
          <w:b w:val="1"/>
        </w:rPr>
        <w:t>EXTIEND</w:t>
      </w:r>
      <w:r>
        <w:rPr>
          <w:rStyle w:val="C3"/>
          <w:b w:val="1"/>
        </w:rPr>
        <w:t>A</w:t>
      </w:r>
      <w:r>
        <w:rPr>
          <w:rStyle w:val="C3"/>
          <w:b w:val="1"/>
        </w:rPr>
        <w:t>SE</w:t>
      </w:r>
      <w:r>
        <w:t xml:space="preserve">  para los días mencionados en el Art.1º, la aplicación de la Ordenanza Nº 5504, en toda la zona aledaña al Santuario  de Nuestra Señora de Lourdes y </w:t>
      </w:r>
      <w:r>
        <w:rPr>
          <w:rStyle w:val="C3"/>
          <w:b w:val="1"/>
        </w:rPr>
        <w:t xml:space="preserve">SANCIÓNASE </w:t>
      </w:r>
      <w:r>
        <w:t xml:space="preserve">su incumplimiento con multa que se establecerá en un mínimo de 3000 UF a un máximo de 6000 UF; si el predio fuese privado y autorizado, el titular y/o poseedor y/o tenedor deberá suministrar a los campistas  todo  lo necesario para asistirlos con agua,</w:t>
      </w:r>
    </w:p>
    <w:p>
      <w:pPr>
        <w:pStyle w:val="P11"/>
        <w:ind w:left="561"/>
      </w:pPr>
      <w:r>
        <w:t xml:space="preserve">energía eléctrica, seguridad, sanitarios, etc, sancionándose su incumplimiento con multa que se establecerá en un mínimo de 3000 UF a un máximo de 6000 UF.-  </w:t>
      </w:r>
    </w:p>
    <w:p>
      <w:pPr>
        <w:pStyle w:val="P11"/>
        <w:ind w:hanging="851" w:left="851"/>
      </w:pPr>
    </w:p>
    <w:p>
      <w:pPr>
        <w:pStyle w:val="P11"/>
        <w:ind w:hanging="561" w:left="561"/>
      </w:pPr>
      <w:r>
        <w:rPr>
          <w:rStyle w:val="C3"/>
          <w:b w:val="1"/>
          <w:u w:val="single"/>
        </w:rPr>
        <w:t>Art.5</w:t>
      </w:r>
      <w:r>
        <w:rPr>
          <w:rStyle w:val="C3"/>
          <w:b w:val="1"/>
        </w:rPr>
        <w:t>: AUTORÍZASE</w:t>
      </w:r>
      <w:r>
        <w:t xml:space="preserve"> la instalación de puestos de venta ambulante (puestos debidamente autorizados) sobre calle Pedro Butori y perpendiculares a la misma, esto incluye aceras y banquinas, el sector circundante y  la acera y banquina norte de la Avenida Costanera.-</w:t>
      </w:r>
    </w:p>
    <w:p>
      <w:pPr>
        <w:pStyle w:val="P11"/>
      </w:pPr>
    </w:p>
    <w:p>
      <w:pPr>
        <w:pStyle w:val="P11"/>
        <w:ind w:hanging="561" w:left="561"/>
      </w:pPr>
      <w:r>
        <w:rPr>
          <w:rStyle w:val="C3"/>
          <w:b w:val="1"/>
          <w:u w:val="single"/>
        </w:rPr>
        <w:t>Art.6</w:t>
      </w:r>
      <w:r>
        <w:rPr>
          <w:rStyle w:val="C3"/>
          <w:b w:val="1"/>
        </w:rPr>
        <w:t>: DESTÍNASE</w:t>
      </w:r>
      <w:r>
        <w:t xml:space="preserve"> el sector comprendido sobre calle Pedro Butori hasta calle Rusconi y sector circundante al ingreso del Santuario para la instalación de puestos de venta ambulante, a las personas físicas o comerciantes de la ciudad de Alta Gracia que cumplimenten los requisitos establecidos por reglamentación y se deberá abonar previamente a la autorización concedida por la autoridad de aplicación para el  uso de la vía pública en  ese sector, por  caja  municipal  la  suma de PESOS </w:t>
      </w:r>
    </w:p>
    <w:p>
      <w:pPr>
        <w:pStyle w:val="P11"/>
        <w:ind w:hanging="561" w:left="561"/>
        <w:jc w:val="right"/>
      </w:pPr>
      <w:r>
        <w:t>...///</w:t>
      </w:r>
    </w:p>
    <w:p>
      <w:pPr>
        <w:pStyle w:val="P11"/>
        <w:ind w:hanging="561" w:left="561"/>
        <w:jc w:val="right"/>
      </w:pPr>
    </w:p>
    <w:p>
      <w:pPr>
        <w:pStyle w:val="P11"/>
        <w:ind w:hanging="561" w:left="561"/>
        <w:jc w:val="right"/>
      </w:pPr>
    </w:p>
    <w:p>
      <w:pPr>
        <w:pStyle w:val="P11"/>
        <w:ind w:hanging="561" w:left="561"/>
        <w:jc w:val="right"/>
      </w:pPr>
    </w:p>
    <w:p>
      <w:pPr>
        <w:pStyle w:val="P11"/>
        <w:ind w:hanging="561" w:left="561"/>
        <w:jc w:val="right"/>
      </w:pPr>
    </w:p>
    <w:p>
      <w:pPr>
        <w:pStyle w:val="P11"/>
        <w:ind w:hanging="561" w:left="561"/>
        <w:jc w:val="right"/>
      </w:pPr>
    </w:p>
    <w:p>
      <w:pPr>
        <w:pStyle w:val="P11"/>
        <w:ind w:hanging="561" w:left="561"/>
        <w:jc w:val="right"/>
      </w:pPr>
    </w:p>
    <w:p>
      <w:pPr>
        <w:pStyle w:val="P11"/>
        <w:ind w:hanging="561" w:left="561"/>
        <w:jc w:val="right"/>
      </w:pPr>
    </w:p>
    <w:p>
      <w:pPr>
        <w:pStyle w:val="P11"/>
        <w:ind w:hanging="561" w:left="561"/>
        <w:jc w:val="right"/>
      </w:pPr>
    </w:p>
    <w:p>
      <w:pPr>
        <w:pStyle w:val="P11"/>
        <w:ind w:hanging="561" w:left="561"/>
      </w:pPr>
    </w:p>
    <w:p>
      <w:pPr>
        <w:pStyle w:val="P11"/>
        <w:ind w:hanging="561" w:left="561"/>
      </w:pPr>
    </w:p>
    <w:p>
      <w:pPr>
        <w:pStyle w:val="P11"/>
        <w:ind w:hanging="561" w:left="561"/>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...///4.-</w:t>
      </w:r>
    </w:p>
    <w:p>
      <w:pPr>
        <w:pStyle w:val="P11"/>
        <w:ind w:hanging="561" w:left="561"/>
        <w:rPr>
          <w:rStyle w:val="C3"/>
        </w:rPr>
      </w:pPr>
    </w:p>
    <w:p>
      <w:pPr>
        <w:pStyle w:val="P11"/>
        <w:ind w:left="561"/>
      </w:pPr>
      <w:r>
        <w:t xml:space="preserve">TRESCIENTOS ($300.00) por día, mas PESOS CUARENTA ($40.00) por m2 de superficie de exposición de venta  que excedan de CINCO (5)m2, independientemente de las tasas que abonará por servicio de inspección, seguridad y bromatología que le correspondiere; en caso de incumplimiento del presente artículo se procederá al decomiso de la mercadería y multa correspondiente.-      </w:t>
      </w:r>
    </w:p>
    <w:p>
      <w:pPr>
        <w:pStyle w:val="P11"/>
        <w:ind w:hanging="851" w:left="851"/>
      </w:pPr>
    </w:p>
    <w:p>
      <w:pPr>
        <w:pStyle w:val="P11"/>
        <w:ind w:hanging="561" w:left="561"/>
      </w:pPr>
      <w:r>
        <w:rPr>
          <w:rStyle w:val="C3"/>
          <w:b w:val="1"/>
          <w:u w:val="single"/>
        </w:rPr>
        <w:t>Art.7</w:t>
      </w:r>
      <w:r>
        <w:t>:</w:t>
      </w:r>
      <w:r>
        <w:rPr>
          <w:rStyle w:val="C3"/>
          <w:b w:val="1"/>
        </w:rPr>
        <w:t xml:space="preserve"> DESTÍNASE</w:t>
      </w:r>
      <w:r>
        <w:t xml:space="preserve">  el sector comprendido sobre calle Pedro Butóri desde calle Rusconi hasta Avenida Costanera (N) en toda su extensión  para la instalación de puestos de venta ambulante, a las personas físicas o comerciantes no residentes de la Ciudad de Alta Gracia que cumplimenten los requisitos establecidos por reglamentación y de deberá abonar previamente a la autorización concedida por la autoridad de aplicación para el uso de la vía pública en ese sector, por caja municipal la suma de PESOS QUINIENTOS ($500.00) por día, mas PESOS SETENTA ($70.00) por m2 de superficie de exposición de venta que excedan de CINCO (5)m2, independientemente de las Tasas que abonará por Servicio de Inspección, Seguridad y Bromatología que le correspondiere; en caso de incumplimiento del presente Artículo se procederá al decomiso de la mercadería y multa correspondiente.- </w:t>
      </w:r>
    </w:p>
    <w:p>
      <w:pPr>
        <w:pStyle w:val="P11"/>
        <w:ind w:hanging="851" w:left="851"/>
      </w:pPr>
      <w:r>
        <w:t xml:space="preserve">     </w:t>
      </w:r>
    </w:p>
    <w:p>
      <w:pPr>
        <w:pStyle w:val="P11"/>
        <w:ind w:hanging="561" w:left="561"/>
      </w:pPr>
      <w:r>
        <w:rPr>
          <w:rStyle w:val="C3"/>
          <w:b w:val="1"/>
          <w:u w:val="single"/>
        </w:rPr>
        <w:t>Art.8</w:t>
      </w:r>
      <w:r>
        <w:rPr>
          <w:rStyle w:val="C3"/>
          <w:b w:val="1"/>
        </w:rPr>
        <w:t>: LOS</w:t>
      </w:r>
      <w:r>
        <w:t xml:space="preserve"> vendedores ambulantes que realicen su actividad sin la instalación de puestos, deberán solicitar a la autoridad de aplicación la respectiva autorización, debiendo cumplimentar  los requisitos establecidos por reglamentación. Para la realización de la actividad, se abonará previamente a la autorización, concedida por la autoridad de  aplicación  por caja municipal la suma de </w:t>
      </w:r>
    </w:p>
    <w:p>
      <w:pPr>
        <w:pStyle w:val="P11"/>
        <w:ind w:hanging="561" w:left="561"/>
        <w:jc w:val="right"/>
      </w:pPr>
      <w:r>
        <w:t>...///</w:t>
      </w:r>
    </w:p>
    <w:p>
      <w:pPr>
        <w:pStyle w:val="P11"/>
        <w:ind w:hanging="561" w:left="561"/>
      </w:pPr>
    </w:p>
    <w:p>
      <w:pPr>
        <w:pStyle w:val="P11"/>
        <w:ind w:hanging="561" w:left="561"/>
      </w:pPr>
    </w:p>
    <w:p>
      <w:pPr>
        <w:pStyle w:val="P11"/>
        <w:ind w:hanging="561" w:left="561"/>
      </w:pPr>
    </w:p>
    <w:p>
      <w:pPr>
        <w:pStyle w:val="P11"/>
        <w:ind w:hanging="561" w:left="561"/>
      </w:pPr>
    </w:p>
    <w:p>
      <w:pPr>
        <w:pStyle w:val="P11"/>
        <w:ind w:hanging="561" w:left="561"/>
      </w:pPr>
    </w:p>
    <w:p>
      <w:pPr>
        <w:pStyle w:val="P11"/>
        <w:ind w:hanging="561" w:left="561"/>
      </w:pPr>
    </w:p>
    <w:p>
      <w:pPr>
        <w:pStyle w:val="P11"/>
        <w:ind w:hanging="561" w:left="561"/>
      </w:pPr>
    </w:p>
    <w:p>
      <w:pPr>
        <w:pStyle w:val="P11"/>
        <w:ind w:hanging="561" w:left="561"/>
      </w:pPr>
    </w:p>
    <w:p>
      <w:pPr>
        <w:pStyle w:val="P11"/>
        <w:ind w:hanging="561" w:left="561"/>
      </w:pPr>
    </w:p>
    <w:p>
      <w:pPr>
        <w:pStyle w:val="P11"/>
        <w:ind w:hanging="561" w:left="561"/>
      </w:pPr>
    </w:p>
    <w:p>
      <w:pPr>
        <w:pStyle w:val="P11"/>
        <w:ind w:hanging="561" w:left="561"/>
      </w:pPr>
    </w:p>
    <w:p>
      <w:pPr>
        <w:pStyle w:val="P11"/>
        <w:ind w:hanging="561" w:left="561"/>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...///5.-</w:t>
      </w:r>
    </w:p>
    <w:p>
      <w:pPr>
        <w:pStyle w:val="P11"/>
        <w:ind w:hanging="561" w:left="561"/>
        <w:rPr>
          <w:rStyle w:val="C3"/>
        </w:rPr>
      </w:pPr>
    </w:p>
    <w:p>
      <w:pPr>
        <w:pStyle w:val="P11"/>
        <w:ind w:left="561"/>
      </w:pPr>
      <w:r>
        <w:t xml:space="preserve">PESOS CINCUENTA ($50.00) por día, monto que podrá ser reducido hasta un CINCUENTA POR CIENTO (50%) en los casos que el solicitante sea beneficiario de los planes de asistencia  del Estado Municipal, previo informe del Área competente; en caso de incumplimiento del presente artículo se procederá al decomiso de la mercadería y multa correspondiente.- </w:t>
      </w:r>
    </w:p>
    <w:p>
      <w:pPr>
        <w:pStyle w:val="P11"/>
        <w:ind w:hanging="851" w:left="851"/>
        <w:rPr>
          <w:rStyle w:val="C3"/>
          <w:b w:val="1"/>
        </w:rPr>
      </w:pPr>
    </w:p>
    <w:p>
      <w:pPr>
        <w:pStyle w:val="P11"/>
        <w:ind w:hanging="561" w:left="561"/>
      </w:pPr>
      <w:r>
        <w:rPr>
          <w:rStyle w:val="C3"/>
          <w:b w:val="1"/>
          <w:u w:val="single"/>
        </w:rPr>
        <w:t>Art.9</w:t>
      </w:r>
      <w:r>
        <w:t xml:space="preserve">: </w:t>
      </w:r>
      <w:r>
        <w:rPr>
          <w:rStyle w:val="C3"/>
          <w:b w:val="1"/>
        </w:rPr>
        <w:t>LOS</w:t>
      </w:r>
      <w:r>
        <w:t xml:space="preserve"> particulares que transitoriamente y por ocasión de la festividad de la Virgen de Lourdes establecieren en sus domicilios comercios de cualquier tipo, deberán solicitar autorización a la autoridad de aplicación para tal fin debiendo cumplimentar los requisitos establecidos por reglamentación. Para lo cual abonará previamente a la autorización, por caja municipal la suma de PESOS DOSCIENTOS ($200.00) independientemente de las Tasas que abonará por Servicio de Inspección, Seguridad y Bromatología que le correspondiere; en caso de incumplimiento del presente artículo se procederá al decomiso de la mercadería y multa correspondiente.- </w:t>
      </w:r>
    </w:p>
    <w:p>
      <w:pPr>
        <w:pStyle w:val="P11"/>
        <w:ind w:hanging="851" w:left="851"/>
      </w:pPr>
    </w:p>
    <w:p>
      <w:pPr>
        <w:pStyle w:val="P11"/>
        <w:ind w:hanging="561" w:left="561"/>
      </w:pPr>
      <w:r>
        <w:rPr>
          <w:rStyle w:val="C3"/>
          <w:b w:val="1"/>
          <w:u w:val="single"/>
        </w:rPr>
        <w:t>Art.10</w:t>
      </w:r>
      <w:r>
        <w:t xml:space="preserve">: </w:t>
      </w:r>
      <w:r>
        <w:rPr>
          <w:rStyle w:val="C3"/>
          <w:b w:val="1"/>
        </w:rPr>
        <w:t>LA</w:t>
      </w:r>
      <w:r>
        <w:t xml:space="preserve"> Autoridad de Aplicación deberá dar publicidad por los medios de comunicación pertinentes sobre los procedimientos y lugares destinados a la adquisición de </w:t>
      </w:r>
    </w:p>
    <w:p>
      <w:pPr>
        <w:pStyle w:val="P11"/>
        <w:ind w:left="561"/>
      </w:pPr>
      <w:r>
        <w:t>las autorizaciones y la organización del evento, con una antelación no inferior a TREINTA (30) días de su realización.-</w:t>
      </w:r>
    </w:p>
    <w:p>
      <w:pPr>
        <w:pStyle w:val="P11"/>
        <w:ind w:hanging="851" w:left="851"/>
        <w:rPr>
          <w:rStyle w:val="C3"/>
          <w:b w:val="1"/>
        </w:rPr>
      </w:pPr>
    </w:p>
    <w:p>
      <w:pPr>
        <w:pStyle w:val="P11"/>
        <w:ind w:hanging="561" w:left="561"/>
      </w:pPr>
      <w:r>
        <w:rPr>
          <w:rStyle w:val="C3"/>
          <w:b w:val="1"/>
          <w:u w:val="single"/>
        </w:rPr>
        <w:t>Art.11</w:t>
      </w:r>
      <w:r>
        <w:t xml:space="preserve">: </w:t>
      </w:r>
      <w:r>
        <w:rPr>
          <w:rStyle w:val="C3"/>
          <w:b w:val="1"/>
        </w:rPr>
        <w:t xml:space="preserve">AUTORÍZASE </w:t>
      </w:r>
      <w:r>
        <w:t>la colocación de una red de parlantes sobre la calle Pedro Bútori para propagar música acorde a la Festividad.-</w:t>
      </w:r>
    </w:p>
    <w:p>
      <w:pPr>
        <w:pStyle w:val="P11"/>
        <w:ind w:hanging="852" w:left="852"/>
        <w:jc w:val="right"/>
      </w:pPr>
      <w:r>
        <w:t>...///</w:t>
      </w:r>
    </w:p>
    <w:p>
      <w:pPr>
        <w:pStyle w:val="P11"/>
        <w:ind w:hanging="852" w:left="852"/>
      </w:pPr>
    </w:p>
    <w:p>
      <w:pPr>
        <w:pStyle w:val="P11"/>
        <w:ind w:hanging="852" w:left="852"/>
      </w:pPr>
    </w:p>
    <w:p>
      <w:pPr>
        <w:pStyle w:val="P11"/>
        <w:ind w:hanging="852" w:left="852"/>
      </w:pPr>
    </w:p>
    <w:p>
      <w:pPr>
        <w:pStyle w:val="P11"/>
        <w:ind w:hanging="852" w:left="852"/>
      </w:pPr>
    </w:p>
    <w:p>
      <w:pPr>
        <w:pStyle w:val="P11"/>
        <w:ind w:hanging="852" w:left="852"/>
      </w:pPr>
    </w:p>
    <w:p>
      <w:pPr>
        <w:pStyle w:val="P11"/>
        <w:ind w:hanging="852" w:left="852"/>
      </w:pPr>
    </w:p>
    <w:p>
      <w:pPr>
        <w:pStyle w:val="P11"/>
        <w:ind w:hanging="852" w:left="852"/>
      </w:pPr>
    </w:p>
    <w:p>
      <w:pPr>
        <w:pStyle w:val="P11"/>
        <w:ind w:hanging="852" w:left="852"/>
      </w:pPr>
    </w:p>
    <w:p>
      <w:pPr>
        <w:pStyle w:val="P11"/>
        <w:ind w:hanging="852" w:left="852"/>
      </w:pPr>
    </w:p>
    <w:p>
      <w:pPr>
        <w:pStyle w:val="P11"/>
        <w:ind w:hanging="852" w:left="852"/>
      </w:pPr>
    </w:p>
    <w:p>
      <w:pPr>
        <w:pStyle w:val="P11"/>
        <w:ind w:hanging="852" w:left="852"/>
      </w:pPr>
    </w:p>
    <w:p>
      <w:pPr>
        <w:pStyle w:val="P11"/>
        <w:ind w:hanging="852" w:left="852"/>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w:t>
      </w:r>
      <w:r>
        <w:rPr>
          <w:rStyle w:val="C3"/>
          <w:rFonts w:ascii="JaneAusten" w:hAnsi="JaneAusten"/>
          <w:b w:val="0"/>
          <w:sz w:val="24"/>
        </w:rPr>
        <w:t>2010 Año del Bicentenario de la Revolución de Mayo”</w:t>
      </w:r>
    </w:p>
    <w:p>
      <w:pPr>
        <w:pStyle w:val="P16"/>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...///6.-</w:t>
      </w:r>
    </w:p>
    <w:p>
      <w:pPr>
        <w:pStyle w:val="P11"/>
        <w:ind w:hanging="852" w:left="852"/>
        <w:rPr>
          <w:rStyle w:val="C3"/>
        </w:rPr>
      </w:pPr>
    </w:p>
    <w:p>
      <w:pPr>
        <w:pStyle w:val="P11"/>
        <w:ind w:hanging="561" w:left="561"/>
      </w:pPr>
      <w:r>
        <w:rPr>
          <w:rStyle w:val="C3"/>
          <w:b w:val="1"/>
          <w:u w:val="single"/>
        </w:rPr>
        <w:t>Art.12</w:t>
      </w:r>
      <w:r>
        <w:rPr>
          <w:rStyle w:val="C3"/>
          <w:b w:val="1"/>
        </w:rPr>
        <w:t>:</w:t>
      </w:r>
      <w:r>
        <w:t xml:space="preserve"> </w:t>
      </w:r>
      <w:r>
        <w:rPr>
          <w:rStyle w:val="C3"/>
          <w:b w:val="1"/>
        </w:rPr>
        <w:t>PROHÍBASE</w:t>
      </w:r>
      <w:r>
        <w:t xml:space="preserve"> el uso de artefactos de amplificación de sonido, radio grabadores, pasacassettes, etc., para promoción o publicidad de venta de artículos en los puestos ambulantes, solo será por medio de exclamaciones verbales o cartelería.-</w:t>
      </w:r>
    </w:p>
    <w:p>
      <w:pPr>
        <w:pStyle w:val="P11"/>
        <w:ind w:hanging="852" w:left="852"/>
        <w:rPr>
          <w:rStyle w:val="C3"/>
          <w:b w:val="1"/>
        </w:rPr>
      </w:pPr>
    </w:p>
    <w:p>
      <w:pPr>
        <w:pStyle w:val="P11"/>
        <w:ind w:hanging="561" w:left="561"/>
      </w:pPr>
      <w:r>
        <w:rPr>
          <w:rStyle w:val="C3"/>
          <w:b w:val="1"/>
          <w:u w:val="single"/>
        </w:rPr>
        <w:t>Art.13</w:t>
      </w:r>
      <w:r>
        <w:rPr>
          <w:rStyle w:val="C3"/>
          <w:b w:val="1"/>
        </w:rPr>
        <w:t>: DESTINASE</w:t>
      </w:r>
      <w:r>
        <w:t xml:space="preserve"> específicamente, el remanente de lo recaudado en concepto de autorizaciones por actividad de venta ambulante,  luego de abonarse  los gastos  emergentes para el control y organización propios de la festividad, a  la  concreción de obras públicas para los Barrios colindantes con el sector.- </w:t>
      </w:r>
    </w:p>
    <w:p>
      <w:pPr>
        <w:pStyle w:val="P11"/>
        <w:ind w:hanging="851" w:left="851"/>
        <w:rPr>
          <w:rStyle w:val="C3"/>
          <w:b w:val="1"/>
        </w:rPr>
      </w:pPr>
    </w:p>
    <w:p>
      <w:pPr>
        <w:pStyle w:val="P11"/>
        <w:ind w:hanging="561" w:left="561"/>
      </w:pPr>
      <w:r>
        <w:rPr>
          <w:rStyle w:val="C3"/>
          <w:b w:val="1"/>
          <w:u w:val="single"/>
        </w:rPr>
        <w:t>Art.14</w:t>
      </w:r>
      <w:r>
        <w:rPr>
          <w:rStyle w:val="C3"/>
          <w:b w:val="1"/>
        </w:rPr>
        <w:t>: FIJASE</w:t>
      </w:r>
      <w:r>
        <w:t xml:space="preserve"> como Autoridad de Aplicación, a la Secretaría General y de Coordinación Administrativa, Secretaría de Servicios Públicos y Medio Ambiente y Secretaría de Gobierno.-</w:t>
      </w:r>
    </w:p>
    <w:p>
      <w:pPr>
        <w:pStyle w:val="P11"/>
        <w:ind w:hanging="851" w:left="851"/>
      </w:pPr>
    </w:p>
    <w:p>
      <w:pPr>
        <w:pStyle w:val="P13"/>
        <w:ind w:hanging="561" w:left="561"/>
      </w:pPr>
      <w:r>
        <w:rPr>
          <w:rStyle w:val="C3"/>
          <w:b w:val="1"/>
          <w:u w:val="single"/>
        </w:rPr>
        <w:t>Art.15</w:t>
      </w:r>
      <w:r>
        <w:t xml:space="preserve">: </w:t>
      </w:r>
      <w:r>
        <w:rPr>
          <w:rStyle w:val="C3"/>
          <w:b w:val="1"/>
        </w:rPr>
        <w:t>LA</w:t>
      </w:r>
      <w:r>
        <w:t xml:space="preserve"> presente Ordenanza entrará en vigencia a partir de su fecha de Promulgación.-</w:t>
      </w:r>
    </w:p>
    <w:p>
      <w:pPr>
        <w:pStyle w:val="P13"/>
        <w:ind w:hanging="374" w:left="374"/>
      </w:pPr>
    </w:p>
    <w:p>
      <w:pPr>
        <w:pStyle w:val="P20"/>
        <w:ind w:hanging="561" w:left="561"/>
        <w:jc w:val="both"/>
        <w:rPr>
          <w:rStyle w:val="C3"/>
          <w:sz w:val="24"/>
        </w:rPr>
      </w:pPr>
      <w:r>
        <w:rPr>
          <w:rStyle w:val="C3"/>
          <w:b w:val="1"/>
          <w:sz w:val="24"/>
          <w:u w:val="single"/>
        </w:rPr>
        <w:t>Art.16</w:t>
      </w:r>
      <w:r>
        <w:rPr>
          <w:rStyle w:val="C3"/>
          <w:b w:val="1"/>
          <w:sz w:val="24"/>
        </w:rPr>
        <w:t>: PROTOCOLÍCESE,</w:t>
      </w:r>
      <w:r>
        <w:rPr>
          <w:rStyle w:val="C3"/>
          <w:sz w:val="24"/>
        </w:rPr>
        <w:t xml:space="preserve"> comuníquese, publíquese en el Boletín Oficial de la Ciudad de Alta Gracia, incorpórese al Libro de Ordenanzas y archívese.- </w:t>
      </w: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VEINTIDÓS DÍAS DEL MES DE DICIEMBRE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B6677DA">
      <w:start w:val="0"/>
      <w:numFmt w:val="bullet"/>
      <w:suff w:val="tab"/>
      <w:lvlText w:val=""/>
      <w:lvlJc w:val="left"/>
      <w:pPr>
        <w:ind w:hanging="360" w:left="927"/>
      </w:pPr>
      <w:rPr>
        <w:rFonts w:ascii="Symbol" w:hAnsi="Symbol"/>
      </w:rPr>
    </w:lvl>
    <w:lvl w:ilvl="1" w:tplc="2CA50C39">
      <w:start w:val="1"/>
      <w:numFmt w:val="bullet"/>
      <w:suff w:val="tab"/>
      <w:lvlText w:val="o"/>
      <w:lvlJc w:val="left"/>
      <w:pPr>
        <w:ind w:hanging="360" w:left="1647"/>
      </w:pPr>
      <w:rPr>
        <w:rFonts w:ascii="Courier New" w:hAnsi="Courier New"/>
      </w:rPr>
    </w:lvl>
    <w:lvl w:ilvl="2" w:tplc="3D4CBA56">
      <w:start w:val="1"/>
      <w:numFmt w:val="bullet"/>
      <w:suff w:val="tab"/>
      <w:lvlText w:val=""/>
      <w:lvlJc w:val="left"/>
      <w:pPr>
        <w:ind w:hanging="360" w:left="2367"/>
      </w:pPr>
      <w:rPr>
        <w:rFonts w:ascii="Wingdings" w:hAnsi="Wingdings"/>
      </w:rPr>
    </w:lvl>
    <w:lvl w:ilvl="3" w:tplc="30E77E0A">
      <w:start w:val="1"/>
      <w:numFmt w:val="bullet"/>
      <w:suff w:val="tab"/>
      <w:lvlText w:val=""/>
      <w:lvlJc w:val="left"/>
      <w:pPr>
        <w:ind w:hanging="360" w:left="3087"/>
      </w:pPr>
      <w:rPr>
        <w:rFonts w:ascii="Symbol" w:hAnsi="Symbol"/>
      </w:rPr>
    </w:lvl>
    <w:lvl w:ilvl="4" w:tplc="33FF9B87">
      <w:start w:val="1"/>
      <w:numFmt w:val="bullet"/>
      <w:suff w:val="tab"/>
      <w:lvlText w:val="o"/>
      <w:lvlJc w:val="left"/>
      <w:pPr>
        <w:ind w:hanging="360" w:left="3807"/>
      </w:pPr>
      <w:rPr>
        <w:rFonts w:ascii="Courier New" w:hAnsi="Courier New"/>
      </w:rPr>
    </w:lvl>
    <w:lvl w:ilvl="5" w:tplc="52F5124C">
      <w:start w:val="1"/>
      <w:numFmt w:val="bullet"/>
      <w:suff w:val="tab"/>
      <w:lvlText w:val=""/>
      <w:lvlJc w:val="left"/>
      <w:pPr>
        <w:ind w:hanging="360" w:left="4527"/>
      </w:pPr>
      <w:rPr>
        <w:rFonts w:ascii="Wingdings" w:hAnsi="Wingdings"/>
      </w:rPr>
    </w:lvl>
    <w:lvl w:ilvl="6" w:tplc="498BF1E4">
      <w:start w:val="1"/>
      <w:numFmt w:val="bullet"/>
      <w:suff w:val="tab"/>
      <w:lvlText w:val=""/>
      <w:lvlJc w:val="left"/>
      <w:pPr>
        <w:ind w:hanging="360" w:left="5247"/>
      </w:pPr>
      <w:rPr>
        <w:rFonts w:ascii="Symbol" w:hAnsi="Symbol"/>
      </w:rPr>
    </w:lvl>
    <w:lvl w:ilvl="7" w:tplc="3889ACAB">
      <w:start w:val="1"/>
      <w:numFmt w:val="bullet"/>
      <w:suff w:val="tab"/>
      <w:lvlText w:val="o"/>
      <w:lvlJc w:val="left"/>
      <w:pPr>
        <w:ind w:hanging="360" w:left="5967"/>
      </w:pPr>
      <w:rPr>
        <w:rFonts w:ascii="Courier New" w:hAnsi="Courier New"/>
      </w:rPr>
    </w:lvl>
    <w:lvl w:ilvl="8" w:tplc="664E82EC">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2EBDAC34">
      <w:start w:val="0"/>
      <w:numFmt w:val="bullet"/>
      <w:suff w:val="tab"/>
      <w:lvlText w:val="-"/>
      <w:lvlJc w:val="left"/>
      <w:pPr>
        <w:ind w:hanging="360" w:left="720"/>
        <w:tabs>
          <w:tab w:val="left" w:pos="720" w:leader="none"/>
        </w:tabs>
      </w:pPr>
      <w:rPr>
        <w:rFonts w:ascii="Times New Roman" w:hAnsi="Times New Roman"/>
      </w:rPr>
    </w:lvl>
    <w:lvl w:ilvl="1" w:tplc="26B6809A">
      <w:start w:val="1"/>
      <w:numFmt w:val="bullet"/>
      <w:suff w:val="tab"/>
      <w:lvlText w:val="o"/>
      <w:lvlJc w:val="left"/>
      <w:pPr>
        <w:ind w:hanging="360" w:left="1440"/>
        <w:tabs>
          <w:tab w:val="left" w:pos="1440" w:leader="none"/>
        </w:tabs>
      </w:pPr>
      <w:rPr>
        <w:rFonts w:ascii="Courier New" w:hAnsi="Courier New"/>
      </w:rPr>
    </w:lvl>
    <w:lvl w:ilvl="2" w:tplc="12BFD4BD">
      <w:start w:val="1"/>
      <w:numFmt w:val="bullet"/>
      <w:suff w:val="tab"/>
      <w:lvlText w:val=""/>
      <w:lvlJc w:val="left"/>
      <w:pPr>
        <w:ind w:hanging="360" w:left="2160"/>
        <w:tabs>
          <w:tab w:val="left" w:pos="2160" w:leader="none"/>
        </w:tabs>
      </w:pPr>
      <w:rPr>
        <w:rFonts w:ascii="Wingdings" w:hAnsi="Wingdings"/>
      </w:rPr>
    </w:lvl>
    <w:lvl w:ilvl="3" w:tplc="10107855">
      <w:start w:val="1"/>
      <w:numFmt w:val="bullet"/>
      <w:suff w:val="tab"/>
      <w:lvlText w:val=""/>
      <w:lvlJc w:val="left"/>
      <w:pPr>
        <w:ind w:hanging="360" w:left="2880"/>
        <w:tabs>
          <w:tab w:val="left" w:pos="2880" w:leader="none"/>
        </w:tabs>
      </w:pPr>
      <w:rPr>
        <w:rFonts w:ascii="Symbol" w:hAnsi="Symbol"/>
      </w:rPr>
    </w:lvl>
    <w:lvl w:ilvl="4" w:tplc="7935A751">
      <w:start w:val="1"/>
      <w:numFmt w:val="bullet"/>
      <w:suff w:val="tab"/>
      <w:lvlText w:val="o"/>
      <w:lvlJc w:val="left"/>
      <w:pPr>
        <w:ind w:hanging="360" w:left="3600"/>
        <w:tabs>
          <w:tab w:val="left" w:pos="3600" w:leader="none"/>
        </w:tabs>
      </w:pPr>
      <w:rPr>
        <w:rFonts w:ascii="Courier New" w:hAnsi="Courier New"/>
      </w:rPr>
    </w:lvl>
    <w:lvl w:ilvl="5" w:tplc="1A81D8EB">
      <w:start w:val="1"/>
      <w:numFmt w:val="bullet"/>
      <w:suff w:val="tab"/>
      <w:lvlText w:val=""/>
      <w:lvlJc w:val="left"/>
      <w:pPr>
        <w:ind w:hanging="360" w:left="4320"/>
        <w:tabs>
          <w:tab w:val="left" w:pos="4320" w:leader="none"/>
        </w:tabs>
      </w:pPr>
      <w:rPr>
        <w:rFonts w:ascii="Wingdings" w:hAnsi="Wingdings"/>
      </w:rPr>
    </w:lvl>
    <w:lvl w:ilvl="6" w:tplc="6FEEC359">
      <w:start w:val="1"/>
      <w:numFmt w:val="bullet"/>
      <w:suff w:val="tab"/>
      <w:lvlText w:val=""/>
      <w:lvlJc w:val="left"/>
      <w:pPr>
        <w:ind w:hanging="360" w:left="5040"/>
        <w:tabs>
          <w:tab w:val="left" w:pos="5040" w:leader="none"/>
        </w:tabs>
      </w:pPr>
      <w:rPr>
        <w:rFonts w:ascii="Symbol" w:hAnsi="Symbol"/>
      </w:rPr>
    </w:lvl>
    <w:lvl w:ilvl="7" w:tplc="76AB4ED7">
      <w:start w:val="1"/>
      <w:numFmt w:val="bullet"/>
      <w:suff w:val="tab"/>
      <w:lvlText w:val="o"/>
      <w:lvlJc w:val="left"/>
      <w:pPr>
        <w:ind w:hanging="360" w:left="5760"/>
        <w:tabs>
          <w:tab w:val="left" w:pos="5760" w:leader="none"/>
        </w:tabs>
      </w:pPr>
      <w:rPr>
        <w:rFonts w:ascii="Courier New" w:hAnsi="Courier New"/>
      </w:rPr>
    </w:lvl>
    <w:lvl w:ilvl="8" w:tplc="5D887391">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1DFC1593">
      <w:start w:val="1"/>
      <w:numFmt w:val="bullet"/>
      <w:suff w:val="tab"/>
      <w:lvlText w:val=""/>
      <w:lvlJc w:val="left"/>
      <w:pPr>
        <w:ind w:hanging="360" w:left="720"/>
        <w:tabs>
          <w:tab w:val="left" w:pos="720" w:leader="none"/>
        </w:tabs>
      </w:pPr>
      <w:rPr>
        <w:rFonts w:ascii="Symbol" w:hAnsi="Symbol"/>
      </w:rPr>
    </w:lvl>
    <w:lvl w:ilvl="1" w:tplc="68418EF5">
      <w:start w:val="1"/>
      <w:numFmt w:val="bullet"/>
      <w:suff w:val="tab"/>
      <w:lvlText w:val="o"/>
      <w:lvlJc w:val="left"/>
      <w:pPr>
        <w:ind w:hanging="360" w:left="1440"/>
        <w:tabs>
          <w:tab w:val="left" w:pos="1440" w:leader="none"/>
        </w:tabs>
      </w:pPr>
      <w:rPr>
        <w:rFonts w:ascii="Courier New" w:hAnsi="Courier New"/>
      </w:rPr>
    </w:lvl>
    <w:lvl w:ilvl="2" w:tplc="54A47F50">
      <w:start w:val="1"/>
      <w:numFmt w:val="bullet"/>
      <w:suff w:val="tab"/>
      <w:lvlText w:val=""/>
      <w:lvlJc w:val="left"/>
      <w:pPr>
        <w:ind w:hanging="360" w:left="2160"/>
        <w:tabs>
          <w:tab w:val="left" w:pos="2160" w:leader="none"/>
        </w:tabs>
      </w:pPr>
      <w:rPr>
        <w:rFonts w:ascii="Wingdings" w:hAnsi="Wingdings"/>
      </w:rPr>
    </w:lvl>
    <w:lvl w:ilvl="3" w:tplc="341217CD">
      <w:start w:val="1"/>
      <w:numFmt w:val="bullet"/>
      <w:suff w:val="tab"/>
      <w:lvlText w:val=""/>
      <w:lvlJc w:val="left"/>
      <w:pPr>
        <w:ind w:hanging="360" w:left="2880"/>
        <w:tabs>
          <w:tab w:val="left" w:pos="2880" w:leader="none"/>
        </w:tabs>
      </w:pPr>
      <w:rPr>
        <w:rFonts w:ascii="Symbol" w:hAnsi="Symbol"/>
      </w:rPr>
    </w:lvl>
    <w:lvl w:ilvl="4" w:tplc="202618F8">
      <w:start w:val="1"/>
      <w:numFmt w:val="bullet"/>
      <w:suff w:val="tab"/>
      <w:lvlText w:val="o"/>
      <w:lvlJc w:val="left"/>
      <w:pPr>
        <w:ind w:hanging="360" w:left="3600"/>
        <w:tabs>
          <w:tab w:val="left" w:pos="3600" w:leader="none"/>
        </w:tabs>
      </w:pPr>
      <w:rPr>
        <w:rFonts w:ascii="Courier New" w:hAnsi="Courier New"/>
      </w:rPr>
    </w:lvl>
    <w:lvl w:ilvl="5" w:tplc="70227685">
      <w:start w:val="1"/>
      <w:numFmt w:val="bullet"/>
      <w:suff w:val="tab"/>
      <w:lvlText w:val=""/>
      <w:lvlJc w:val="left"/>
      <w:pPr>
        <w:ind w:hanging="360" w:left="4320"/>
        <w:tabs>
          <w:tab w:val="left" w:pos="4320" w:leader="none"/>
        </w:tabs>
      </w:pPr>
      <w:rPr>
        <w:rFonts w:ascii="Wingdings" w:hAnsi="Wingdings"/>
      </w:rPr>
    </w:lvl>
    <w:lvl w:ilvl="6" w:tplc="253157D4">
      <w:start w:val="1"/>
      <w:numFmt w:val="bullet"/>
      <w:suff w:val="tab"/>
      <w:lvlText w:val=""/>
      <w:lvlJc w:val="left"/>
      <w:pPr>
        <w:ind w:hanging="360" w:left="5040"/>
        <w:tabs>
          <w:tab w:val="left" w:pos="5040" w:leader="none"/>
        </w:tabs>
      </w:pPr>
      <w:rPr>
        <w:rFonts w:ascii="Symbol" w:hAnsi="Symbol"/>
      </w:rPr>
    </w:lvl>
    <w:lvl w:ilvl="7" w:tplc="66C22562">
      <w:start w:val="1"/>
      <w:numFmt w:val="bullet"/>
      <w:suff w:val="tab"/>
      <w:lvlText w:val="o"/>
      <w:lvlJc w:val="left"/>
      <w:pPr>
        <w:ind w:hanging="360" w:left="5760"/>
        <w:tabs>
          <w:tab w:val="left" w:pos="5760" w:leader="none"/>
        </w:tabs>
      </w:pPr>
      <w:rPr>
        <w:rFonts w:ascii="Courier New" w:hAnsi="Courier New"/>
      </w:rPr>
    </w:lvl>
    <w:lvl w:ilvl="8" w:tplc="2275D1B7">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3013D1C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2010-12-27T15:43:00Z</dcterms:created>
  <cp:lastModifiedBy>Ethan Puglia</cp:lastModifiedBy>
  <cp:lastPrinted>2010-12-23T11:38:00Z</cp:lastPrinted>
  <dcterms:modified xsi:type="dcterms:W3CDTF">2019-03-28T17:34:27Z</dcterms:modified>
  <cp:revision>5</cp:revision>
  <dc:title>PROYECTO DE ORDENANZA VIOLENCIA FAMILIAR</dc:title>
</cp:coreProperties>
</file>