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81E97" Type="http://schemas.openxmlformats.org/officeDocument/2006/relationships/officeDocument" Target="/word/document.xml" /><Relationship Id="coreR3A81E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8811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1737/10;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pStyle w:val="P11"/>
        <w:ind w:left="426"/>
      </w:pPr>
      <w:r>
        <w:t xml:space="preserve">Que a través del mismo y mediante nota, la Sra. Martínez Mercedes Alicia  solicita eximición de la deuda que mantiene con la Municipalidad de Alta Gracia en concepto de Tasa por Servicios a la Propiedad correspondientes a los inmuebles Designaciones Catastrales 03-01-010-003 Cta. 00005348 y 03-01-010-004 Cta. 00026353;</w:t>
      </w:r>
    </w:p>
    <w:p>
      <w:pPr>
        <w:pStyle w:val="P11"/>
        <w:ind w:left="426"/>
      </w:pPr>
    </w:p>
    <w:p>
      <w:pPr>
        <w:pStyle w:val="P11"/>
        <w:ind w:left="426"/>
      </w:pPr>
      <w:r>
        <w:t>Que si bien se trata de dos inmuebles, la vivienda fue construida en la medianera de ambos;</w:t>
      </w:r>
    </w:p>
    <w:p>
      <w:pPr>
        <w:pStyle w:val="P11"/>
        <w:ind w:left="426"/>
      </w:pPr>
    </w:p>
    <w:p>
      <w:pPr>
        <w:pStyle w:val="P11"/>
        <w:ind w:left="426"/>
      </w:pPr>
      <w:r>
        <w:t>Que a Fs.3/5 constan copias de inscripción en la Unidad Ejecutora para el saneamiento de títulos del Gobierno de la Provincia de Córdoba;</w:t>
      </w:r>
    </w:p>
    <w:p>
      <w:pPr>
        <w:pStyle w:val="P11"/>
        <w:ind w:left="426"/>
      </w:pPr>
    </w:p>
    <w:p>
      <w:pPr>
        <w:pStyle w:val="P11"/>
        <w:ind w:left="426"/>
      </w:pPr>
      <w:r>
        <w:t>Que a Fs.10/15 consta estado de cuenta emitido por la Dirección de Ingresos Públicos, parte de la cual se encuentra en gestión judicial;</w:t>
      </w:r>
    </w:p>
    <w:p>
      <w:pPr>
        <w:pStyle w:val="P11"/>
        <w:ind w:left="426"/>
      </w:pPr>
    </w:p>
    <w:p>
      <w:pPr>
        <w:pStyle w:val="P11"/>
        <w:ind w:left="426"/>
      </w:pPr>
      <w:r>
        <w:t>Que a Fs.6/7 constan copias de cancelación de honorarios de los profesionales abogados encargados de la procuración de la deuda en cuestión;</w:t>
      </w:r>
    </w:p>
    <w:p>
      <w:pPr>
        <w:pStyle w:val="P12"/>
        <w:ind w:left="426"/>
      </w:pPr>
    </w:p>
    <w:p>
      <w:pPr>
        <w:pStyle w:val="P12"/>
        <w:ind w:left="426"/>
        <w:jc w:val="right"/>
      </w:pPr>
      <w:r>
        <w:t>...///</w:t>
      </w: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2"/>
        <w:ind w:left="0"/>
        <w:rPr>
          <w:rStyle w:val="C3"/>
        </w:rPr>
      </w:pPr>
    </w:p>
    <w:p>
      <w:pPr>
        <w:pStyle w:val="P12"/>
        <w:ind w:left="0"/>
      </w:pPr>
      <w:r>
        <w:t>...///2.-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en su Art.16º, la Ley 9150 (Modificatoria Ley 9576 Art.11º manifiesta que </w:t>
      </w:r>
      <w:r>
        <w:rPr>
          <w:rStyle w:val="C3"/>
          <w:i w:val="1"/>
        </w:rPr>
        <w:t>“</w:t>
      </w:r>
      <w:r>
        <w:rPr>
          <w:rStyle w:val="C3"/>
          <w:i w:val="1"/>
        </w:rPr>
        <w:t>Las obligaciones tributarias correspondientes a la parcela posesoria anotada en el Registro Personal de Poseedores comenzarán a devengarse - para el poseedor inscripto - a partir del 01 de Enero del año siguiente al de su inscripción en el Registro”</w:t>
      </w:r>
      <w:r>
        <w:t>;</w:t>
      </w:r>
    </w:p>
    <w:p>
      <w:pPr>
        <w:pStyle w:val="P11"/>
        <w:ind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Expediente de referencia por la Comisión de Hacienda la misma emite despacho favorable, aprobado por unanimidad en Sesión Extraordinaria del día 22 de Diciembre de 2010.-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del pago de la Tasa por Servicios a la Propiedad, a los inmuebles, Designaciones Catastrales 03-01-010-003 Cta. 00005348 y 03-01-010-004 Cta. 00026353, los periodos no abonados y no prescriptos hasta la promulgación de la presente.-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DICIEMBRE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96A18A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8DBA75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8A9A9C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653D6E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FEC057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101068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BFC57F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BD0BFC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8DA3D8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888EA4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95EE76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DB1DBB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96F58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72664B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76B89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8C301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157949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8CB982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6FFB36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B1C5C7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EBE327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0F8EF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BD00A8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B927C4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7D972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391C77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1229D2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51F7A0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2010-12-27T14:47:00Z</dcterms:created>
  <cp:lastModifiedBy>Ethan Puglia</cp:lastModifiedBy>
  <cp:lastPrinted>2010-12-27T14:42:00Z</cp:lastPrinted>
  <dcterms:modified xsi:type="dcterms:W3CDTF">2019-03-28T17:34:28Z</dcterms:modified>
  <cp:revision>5</cp:revision>
  <dc:title>PROYECTO DE ORDENANZA VIOLENCIA FAMILIAR</dc:title>
</cp:coreProperties>
</file>