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44F2D479" Type="http://schemas.openxmlformats.org/officeDocument/2006/relationships/officeDocument" Target="/word/document.xml" /><Relationship Id="coreR44F2D47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8813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618/04; y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mediante el mismo la Sra. Petrona Toranzo de Arguello, solicita se contemple su situación y la deuda que en concepto de Tasa por Servicios a la Propiedad, mantiene con la Municipalidad de Alta Gracia el inmueble Designación Catastral 03-01-113-015 Cta. 14123;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Expediente fue iniciado en el año 2004 habiéndose realizado todos los pasos necesarios para su resolución pero sin ser resuelto;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ese momento la solicitante que hacía cinco años que había enviudado no cobraba la pensión de su esposo; 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actualmente cobra pensión mínima;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Relevamiento Socioeconómico y Ambiental realizado indica que el inmueble que ocupa es de características humildes, sin terminar;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señora presenta problemas de salud con tratamiento y medicación permanente;</w:t>
      </w:r>
    </w:p>
    <w:p>
      <w:pPr>
        <w:tabs>
          <w:tab w:val="left" w:pos="2824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Expediente de referencia por la Comisión de Hacienda la misma emite despacho favorable, aprobado por unanimidad en Sesión Extraordinaria del día 22 de Diciembre de 2010.- </w:t>
      </w:r>
    </w:p>
    <w:p>
      <w:pPr>
        <w:pStyle w:val="P11"/>
        <w:jc w:val="right"/>
      </w:pPr>
      <w:r>
        <w:t>...///</w:t>
      </w: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1"/>
        <w:jc w:val="right"/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pStyle w:val="P11"/>
        <w:jc w:val="right"/>
        <w:rPr>
          <w:rStyle w:val="C3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pStyle w:val="P11"/>
        <w:jc w:val="right"/>
        <w:rPr>
          <w:rStyle w:val="C3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</w:rPr>
        <w:t xml:space="preserve"> en un CIEN POR CIENTO (100%) la deuda que en concepto de Tasa por Servicios a la Propiedad mantiene con la Municipalidad de Alta Gracia, hasta la promulgación de la presente el inmueble Designación Catastral 01-01-347-009 – Cta. Nº 21160.-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FIJAR </w:t>
      </w:r>
      <w:r>
        <w:rPr>
          <w:rStyle w:val="C3"/>
          <w:rFonts w:ascii="Courier New" w:hAnsi="Courier New"/>
        </w:rPr>
        <w:t>una cuota mensual de PESOS VEINTE ($20)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partir de la promulgación de la presente y por el término de un año momento en el cual se deberá realizar un nuevo Relevamiento Socioeconómico y de mantenerse la situación actual, extender el beneficio por un año más.-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SOLICITAR </w:t>
      </w:r>
      <w:r>
        <w:rPr>
          <w:rStyle w:val="C3"/>
          <w:rFonts w:ascii="Courier New" w:hAnsi="Courier New"/>
        </w:rPr>
        <w:t>al Sr. Intendente interceda ante Profesional Abogado Mat. I-27463 a los fines de dejar sin efecto el juicio iniciado y los honorarios, en un todo de acuerdo al Art.13º del contrato de locación de servicios profesionales oportunamente suscripto.-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VEINTIDÓS DÍAS DEL MES DE DICIEMBRE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1D0B9DCD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D172D7A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4BD640C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C5A3F0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FDE6A5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66DCDDF1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BE05569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302706F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EFBD44B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3758361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272AA32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AEC981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9D68D3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D0279B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ED96BE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66D496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E71709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2720783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351225B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39B308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ACEDF5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7C96DFA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0D3762A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717DDC4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0ADC3E9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2173DF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436B851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0742C20A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2010-12-27T14:02:00Z</dcterms:created>
  <cp:lastModifiedBy>Ethan Puglia</cp:lastModifiedBy>
  <cp:lastPrinted>2010-12-27T14:15:00Z</cp:lastPrinted>
  <dcterms:modified xsi:type="dcterms:W3CDTF">2019-03-28T17:34:28Z</dcterms:modified>
  <cp:revision>7</cp:revision>
  <dc:title>PROYECTO DE ORDENANZA VIOLENCIA FAMILIAR</dc:title>
</cp:coreProperties>
</file>