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805A251" Type="http://schemas.openxmlformats.org/officeDocument/2006/relationships/officeDocument" Target="/word/document.xml" /><Relationship Id="coreR2805A25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8819</w:t>
      </w:r>
    </w:p>
    <w:p/>
    <w:p/>
    <w:p>
      <w:pPr>
        <w:ind w:hanging="426" w:left="426"/>
        <w:jc w:val="both"/>
        <w:rPr>
          <w:rStyle w:val="C3"/>
          <w:rFonts w:ascii="Courier New" w:hAnsi="Courier New"/>
        </w:rPr>
      </w:pPr>
      <w:r>
        <w:rPr>
          <w:rStyle w:val="C3"/>
          <w:rFonts w:ascii="Courier New" w:hAnsi="Courier New"/>
        </w:rPr>
        <w:t xml:space="preserve">Visto: La creación del “Fondo Provincial para Obras Públicas de Infraestructura Municipal y Comunal” mediante Ley Provincial Nº 9740/10  y su Decreto Reglamentario Nº 1566/10, la Ordenanza Nº 8801</w:t>
      </w:r>
      <w:r>
        <w:rPr>
          <w:rStyle w:val="C3"/>
          <w:rFonts w:ascii="Courier New" w:hAnsi="Courier New"/>
          <w:b w:val="1"/>
        </w:rPr>
        <w:t xml:space="preserve">, </w:t>
      </w:r>
      <w:r>
        <w:rPr>
          <w:rStyle w:val="C3"/>
          <w:rFonts w:ascii="Courier New" w:hAnsi="Courier New"/>
        </w:rPr>
        <w:t>la Resolución Nº 060/10;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tabs>
          <w:tab w:val="left" w:pos="2824" w:leader="none"/>
        </w:tabs>
      </w:pPr>
    </w:p>
    <w:p>
      <w:pPr>
        <w:ind w:left="426"/>
        <w:jc w:val="both"/>
        <w:rPr>
          <w:rStyle w:val="C3"/>
          <w:rFonts w:ascii="Courier New" w:hAnsi="Courier New"/>
        </w:rPr>
      </w:pPr>
      <w:r>
        <w:rPr>
          <w:rStyle w:val="C3"/>
          <w:rFonts w:ascii="Courier New" w:hAnsi="Courier New"/>
        </w:rPr>
        <w:t>Que mediante la citada norma la Municipalidad de Alta Gracia adhirió al “FONDO PROVINCIAL PARA OBRAS PÚBLICAS DE INFRAESTRUCTURA MUNICIPAL Y COMUNAL” creado por Ley Nº 9740 y su Decreto Reglamentario Nº 1566/2010, o las normas que en el futuro las modifiquen o sustituyan;</w:t>
      </w:r>
    </w:p>
    <w:p>
      <w:pPr>
        <w:ind w:left="426"/>
        <w:jc w:val="both"/>
        <w:rPr>
          <w:rStyle w:val="C3"/>
          <w:rFonts w:ascii="Courier New" w:hAnsi="Courier New"/>
        </w:rPr>
      </w:pPr>
    </w:p>
    <w:p>
      <w:pPr>
        <w:ind w:left="426"/>
        <w:jc w:val="both"/>
        <w:rPr>
          <w:rStyle w:val="C3"/>
          <w:rFonts w:ascii="Courier New" w:hAnsi="Courier New"/>
          <w:b w:val="1"/>
          <w:u w:val="single"/>
        </w:rPr>
      </w:pPr>
      <w:r>
        <w:rPr>
          <w:rStyle w:val="C3"/>
          <w:rFonts w:ascii="Courier New" w:hAnsi="Courier New"/>
        </w:rPr>
        <w:t xml:space="preserve">Que con el dictado de la Resolución Nº 060/10 se comunicó a la Secretaría de Gobierno dependiente del Ministerio de Gobierno de la Provincia de Córdoba, que en Sesión Extraordinaria del día 12 de Diciembre de 2010, se dio tratamiento parlamentario, y a los fines de respetar el procedimiento legislativo previsto en el Art.93º inc.6  de la Carta Orgánica Municipal, se aprobó en primera lectura y por unanimidad el Proyecto de Ordenanza para la toma de los fondos PARA OBRAS PÚBLICAS DE INFRAESTRUCTURA MUNICIPAL Y COMUNAL; </w:t>
      </w:r>
    </w:p>
    <w:p>
      <w:pPr>
        <w:ind w:left="426"/>
        <w:jc w:val="both"/>
        <w:rPr>
          <w:rStyle w:val="C3"/>
          <w:rFonts w:ascii="Courier New" w:hAnsi="Courier New"/>
          <w:b w:val="1"/>
        </w:rPr>
      </w:pPr>
    </w:p>
    <w:p>
      <w:pPr>
        <w:ind w:left="426"/>
        <w:rPr>
          <w:rStyle w:val="C3"/>
          <w:rFonts w:ascii="Courier New" w:hAnsi="Courier New"/>
        </w:rPr>
      </w:pPr>
    </w:p>
    <w:p>
      <w:pPr>
        <w:ind w:left="426"/>
        <w:jc w:val="both"/>
        <w:rPr>
          <w:rStyle w:val="C3"/>
          <w:rFonts w:ascii="Courier New" w:hAnsi="Courier New"/>
          <w:b w:val="1"/>
        </w:rPr>
      </w:pPr>
      <w:r>
        <w:rPr>
          <w:rStyle w:val="C3"/>
          <w:rFonts w:ascii="Courier New" w:hAnsi="Courier New"/>
        </w:rPr>
        <w:t>Que</w:t>
      </w:r>
      <w:r>
        <w:rPr>
          <w:rStyle w:val="C3"/>
          <w:rFonts w:ascii="Courier New" w:hAnsi="Courier New"/>
          <w:b w:val="1"/>
        </w:rPr>
        <w:t xml:space="preserve"> </w:t>
      </w:r>
      <w:r>
        <w:rPr>
          <w:rStyle w:val="C3"/>
          <w:rFonts w:ascii="Courier New" w:hAnsi="Courier New"/>
        </w:rPr>
        <w:t>dichos fondos se conforman</w:t>
      </w:r>
      <w:r>
        <w:rPr>
          <w:rStyle w:val="C3"/>
          <w:rFonts w:ascii="Courier New" w:hAnsi="Courier New"/>
          <w:b w:val="1"/>
        </w:rPr>
        <w:t xml:space="preserve"> </w:t>
      </w:r>
      <w:r>
        <w:rPr>
          <w:rStyle w:val="C3"/>
          <w:rFonts w:ascii="Courier New" w:hAnsi="Courier New"/>
        </w:rPr>
        <w:t xml:space="preserve">e </w:t>
      </w:r>
      <w:r>
        <w:rPr>
          <w:rStyle w:val="C3"/>
          <w:rFonts w:ascii="Courier New" w:hAnsi="Courier New"/>
          <w:color w:val="2F2F2F"/>
        </w:rPr>
        <w:t xml:space="preserve">integran con los recursos  provenientes  de  las  operaciones  de crédito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b w:val="1"/>
        </w:rPr>
      </w:pPr>
      <w:r>
        <w:rPr>
          <w:rStyle w:val="C3"/>
          <w:rFonts w:ascii="Courier New" w:hAnsi="Courier New"/>
          <w:color w:val="2F2F2F"/>
        </w:rPr>
        <w:t>público autorizadas en la presente Ley, hasta la suma de DÓLARES ESTADOUNIDENSES SETENTA MILLONES (U$S 70.000.000,00) o su equivalente en pesos u otras monedas</w:t>
      </w:r>
      <w:r>
        <w:rPr>
          <w:rStyle w:val="C3"/>
          <w:rFonts w:ascii="Courier New" w:hAnsi="Courier New"/>
          <w:b w:val="1"/>
        </w:rPr>
        <w:t xml:space="preserve"> </w:t>
      </w:r>
      <w:r>
        <w:rPr>
          <w:rStyle w:val="C3"/>
          <w:rFonts w:ascii="Courier New" w:hAnsi="Courier New"/>
        </w:rPr>
        <w:t>del crédito internacional</w:t>
      </w:r>
      <w:r>
        <w:rPr>
          <w:rStyle w:val="C3"/>
          <w:rFonts w:ascii="Courier New" w:hAnsi="Courier New"/>
          <w:b w:val="1"/>
        </w:rPr>
        <w:t>;</w:t>
      </w:r>
    </w:p>
    <w:p>
      <w:pPr>
        <w:ind w:left="426"/>
        <w:jc w:val="both"/>
        <w:rPr>
          <w:rStyle w:val="C3"/>
          <w:rFonts w:ascii="Courier New" w:hAnsi="Courier New"/>
        </w:rPr>
      </w:pPr>
    </w:p>
    <w:p>
      <w:pPr>
        <w:ind w:left="426"/>
        <w:jc w:val="both"/>
        <w:rPr>
          <w:rStyle w:val="C3"/>
          <w:rFonts w:ascii="Courier New" w:hAnsi="Courier New"/>
          <w:b w:val="1"/>
        </w:rPr>
      </w:pPr>
      <w:r>
        <w:rPr>
          <w:rStyle w:val="C3"/>
          <w:rFonts w:ascii="Courier New" w:hAnsi="Courier New"/>
        </w:rPr>
        <w:t>Que el Art.3º de la Ley y Decreto Reglamentario de referencia, prevé que del CIEN POR CIENTO (100%) del Fondo antes mencionado, el CINCUENTA POR CIENTO (50%) de la amortización del mismo, tanto del capital como de servicio de deuda es a cargo de la Provincia de Córdoba y el CINCUENTA POR CIENTO (50%) restante a cargo de las Municipalidades o Comunas que adhieran al Fondo, en la proporción del monto a que acceda cada uno, estableciendo que los intereses serán devengados a partir de cada desembolso</w:t>
      </w:r>
      <w:r>
        <w:rPr>
          <w:rStyle w:val="C3"/>
          <w:rFonts w:ascii="Courier New" w:hAnsi="Courier New"/>
          <w:b w:val="1"/>
        </w:rPr>
        <w:t>.</w:t>
      </w:r>
      <w:r>
        <w:rPr>
          <w:rStyle w:val="C3"/>
          <w:rFonts w:ascii="Courier New" w:hAnsi="Courier New"/>
          <w:b w:val="1"/>
        </w:rPr>
        <w:t>;</w:t>
      </w:r>
    </w:p>
    <w:p>
      <w:pPr>
        <w:ind w:left="426"/>
        <w:jc w:val="both"/>
        <w:rPr>
          <w:rStyle w:val="C3"/>
          <w:rFonts w:ascii="Courier New" w:hAnsi="Courier New"/>
          <w:b w:val="1"/>
        </w:rPr>
      </w:pPr>
    </w:p>
    <w:p>
      <w:pPr>
        <w:ind w:left="426"/>
        <w:jc w:val="both"/>
        <w:rPr>
          <w:rStyle w:val="C3"/>
          <w:rFonts w:ascii="Courier New" w:hAnsi="Courier New"/>
          <w:b w:val="1"/>
        </w:rPr>
      </w:pPr>
      <w:r>
        <w:rPr>
          <w:rStyle w:val="C3"/>
          <w:rFonts w:ascii="Courier New" w:hAnsi="Courier New"/>
        </w:rPr>
        <w:t>Que</w:t>
      </w:r>
      <w:r>
        <w:rPr>
          <w:rStyle w:val="C3"/>
          <w:rFonts w:ascii="Courier New" w:hAnsi="Courier New"/>
          <w:b w:val="1"/>
        </w:rPr>
        <w:t xml:space="preserve"> </w:t>
      </w:r>
      <w:r>
        <w:rPr>
          <w:rStyle w:val="C3"/>
          <w:rFonts w:ascii="Courier New" w:hAnsi="Courier New"/>
        </w:rPr>
        <w:t>el crédito es a SIETE (7) años, con una tasa de interés del DOCE COMA TRESCIENTOS SETENTA Y CINCO POR CIENTO (12,375%) anual y el pago del capital e intereses se efectuará de la siguiente manera: durante los seis primeros años semestrales se hará efectiva la entrega sólo del servicio de la deuda, aportando el CINCUENTA POR CIENTO (50%) la Provincia y descontando de la Coparticipación Impositiva el CINCUENTA POR CIENTO (50%) a cargo del Estado Municipal. El capital será devuelto en forma integra en el año 2017, siendo también el CINCUENTA POR CIENTO (50%) a cargo del Estado Provincial y el CINCUENTA POR CIENTO (50%) restante descontado de la Coparticipación Impositiva</w:t>
      </w:r>
      <w:r>
        <w:rPr>
          <w:rStyle w:val="C3"/>
          <w:rFonts w:ascii="Courier New" w:hAnsi="Courier New"/>
          <w:b w:val="1"/>
        </w:rPr>
        <w:t>;</w:t>
      </w:r>
    </w:p>
    <w:p>
      <w:pPr>
        <w:ind w:left="426"/>
        <w:jc w:val="right"/>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1"/>
        <w:jc w:val="right"/>
        <w:rPr>
          <w:rStyle w:val="C3"/>
        </w:rPr>
      </w:pPr>
    </w:p>
    <w:p>
      <w:pPr>
        <w:pStyle w:val="P11"/>
        <w:jc w:val="right"/>
        <w:rPr>
          <w:rStyle w:val="C3"/>
        </w:rPr>
      </w:pPr>
    </w:p>
    <w:p>
      <w:pPr>
        <w:pStyle w:val="P11"/>
        <w:jc w:val="right"/>
        <w:rPr>
          <w:rStyle w:val="C3"/>
        </w:rPr>
      </w:pPr>
    </w:p>
    <w:p>
      <w:pPr>
        <w:pStyle w:val="P11"/>
        <w:jc w:val="left"/>
        <w:rPr>
          <w:rStyle w:val="C3"/>
        </w:rPr>
      </w:pPr>
    </w:p>
    <w:p>
      <w:pPr>
        <w:pStyle w:val="P11"/>
        <w:ind w:left="567"/>
        <w:jc w:val="center"/>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...///3.-</w:t>
      </w:r>
    </w:p>
    <w:p>
      <w:pPr>
        <w:pStyle w:val="P11"/>
        <w:ind w:left="567"/>
        <w:jc w:val="center"/>
        <w:rPr>
          <w:rStyle w:val="C3"/>
          <w:b w:val="1"/>
        </w:rPr>
      </w:pPr>
    </w:p>
    <w:p>
      <w:pPr>
        <w:ind w:left="426"/>
        <w:jc w:val="both"/>
        <w:rPr>
          <w:rStyle w:val="C3"/>
          <w:rFonts w:ascii="Courier New" w:hAnsi="Courier New"/>
        </w:rPr>
      </w:pPr>
      <w:r>
        <w:rPr>
          <w:rStyle w:val="C3"/>
          <w:rFonts w:ascii="Courier New" w:hAnsi="Courier New"/>
        </w:rPr>
        <w:t>Que</w:t>
      </w:r>
      <w:r>
        <w:rPr>
          <w:rStyle w:val="C3"/>
          <w:rFonts w:ascii="Courier New" w:hAnsi="Courier New"/>
          <w:b w:val="1"/>
        </w:rPr>
        <w:t xml:space="preserve"> </w:t>
      </w:r>
      <w:r>
        <w:rPr>
          <w:rStyle w:val="C3"/>
          <w:rFonts w:ascii="Courier New" w:hAnsi="Courier New"/>
        </w:rPr>
        <w:t>es sumamente conveniente la toma y utilización de los fondos en cuestión puesto que significan un interesante soporte financiero para la realización de obras que la Ciudad necesita;</w:t>
      </w:r>
    </w:p>
    <w:p>
      <w:pPr>
        <w:pStyle w:val="P11"/>
        <w:ind w:left="567"/>
        <w:jc w:val="center"/>
        <w:rPr>
          <w:rStyle w:val="C3"/>
          <w:b w:val="1"/>
        </w:rPr>
      </w:pPr>
    </w:p>
    <w:p>
      <w:pPr>
        <w:ind w:left="426"/>
        <w:jc w:val="both"/>
        <w:rPr>
          <w:rStyle w:val="C3"/>
          <w:rFonts w:ascii="Courier New" w:hAnsi="Courier New"/>
        </w:rPr>
      </w:pPr>
      <w:r>
        <w:rPr>
          <w:rStyle w:val="C3"/>
          <w:rFonts w:ascii="Courier New" w:hAnsi="Courier New"/>
        </w:rPr>
        <w:t xml:space="preserve">Que evaluado el Proyecto de Ordenanza por la totalidad de los Concejales presentes, se resuelve por unanimidad su aprobación en sesión Extraordinaria del día 22 de Diciembre de 2010.-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xml:space="preserve">: AUTORÍZASE </w:t>
      </w:r>
      <w:r>
        <w:rPr>
          <w:rStyle w:val="C3"/>
          <w:rFonts w:ascii="Courier New" w:hAnsi="Courier New"/>
        </w:rPr>
        <w:t>al señor Intendente Municipal a solicitar al Gobierno de la Provincia de Córdoba hasta la suma de DÓLARES ESTADOUNIDENSES DOSCIENTOS VEINTINUEVE MIL (U$S 229.000,00) o su equivalente en pesos u otras monedas del “FONDO PROVINCIAL PARA OBRAS PÚBLICAS DE INFRAESTRUCTURA MUNICIPAL Y COMUNAL”, para destinarla a la ejecución de dichas obras, a una tasa de interés del DOCE COMA TRESCIENTOS SETENTA Y CINCO POR CIENTO (12,375%) anual y ACÉPTASE que el Gobierno de la Provincia de Córdoba subsidie el CINCUENTA POR CIENTO (50%) del crédito autorizado y sus servicios, en concepto de capital e intereses correspondientes, y a suscribir todos los convenios y demás documentación que resulte necesaria a tales fines</w:t>
      </w:r>
      <w:r>
        <w:rPr>
          <w:rStyle w:val="C3"/>
          <w:rFonts w:ascii="Courier New" w:hAnsi="Courier New"/>
          <w:b w:val="1"/>
        </w:rPr>
        <w:t>.-</w:t>
      </w:r>
    </w:p>
    <w:p>
      <w:pPr>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...///4.-</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AUTORÍZASE </w:t>
      </w:r>
      <w:r>
        <w:rPr>
          <w:rStyle w:val="C3"/>
          <w:rFonts w:ascii="Courier New" w:hAnsi="Courier New"/>
        </w:rPr>
        <w:t xml:space="preserve">al Departamento Ejecutivo a llamar a licitación, y/o contratar a través de los mecanismos legalmente previstos, por la totalidad del monto de la/s obra/s a ejecutar, de acuerdo a lo establecido en la presente  Ordenanza,  sin  perjuicio  del porcentaje de financiación de dicho monto a cargo de la Provincia de Córdoba, conforme lo dispuesto por la Ley Nº 9740. ACÉPTASE que el Gobierno de la Provincia de Córdoba previo acuerdo con el Intendente Municipal, ejecute obras dentro del marco y las condiciones del Fondo citado en el artículo primero</w:t>
      </w:r>
      <w:r>
        <w:rPr>
          <w:rStyle w:val="C3"/>
          <w:rFonts w:ascii="Courier New" w:hAnsi="Courier New"/>
          <w:b w:val="1"/>
        </w:rPr>
        <w:t>.-</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AUTORÍZASE </w:t>
      </w:r>
      <w:r>
        <w:rPr>
          <w:rStyle w:val="C3"/>
          <w:rFonts w:ascii="Courier New" w:hAnsi="Courier New"/>
        </w:rPr>
        <w:t xml:space="preserve">al Señor Intendente Municipal a ceder “pro solvendo” en forma irrevocable a favor del Gobierno de la  Provincia de Córdoba, y a la Contaduría General de la Provincia a retener en forma automática, la participación de la Municipalidad de Alta Gracia en el Régimen de Coparticipación de Impuestos entre la Provincia y sus Municipalidades y Comunas, - Ley Nº 8663 y sus modificatorias, o la que en el futuro la sustituya-, hasta la total cancelación del capital e intereses por la operaciones de crédito autorizadas por el artículo anterior, y de los convenios que en su consecuencia suscriba</w:t>
      </w:r>
      <w:r>
        <w:rPr>
          <w:rStyle w:val="C3"/>
          <w:rFonts w:ascii="Courier New" w:hAnsi="Courier New"/>
          <w:b w:val="1"/>
        </w:rPr>
        <w:t>.-</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 xml:space="preserve">: FACÚLTASE </w:t>
      </w:r>
      <w:r>
        <w:rPr>
          <w:rStyle w:val="C3"/>
          <w:rFonts w:ascii="Courier New" w:hAnsi="Courier New"/>
        </w:rPr>
        <w:t>al Señor Intendente Municipal a efectuar las adecuaciones presupuestarias necesarias para el cumplimiento de las disposiciones de los Artículos anteriores</w:t>
      </w:r>
      <w:r>
        <w:rPr>
          <w:rStyle w:val="C3"/>
          <w:rFonts w:ascii="Courier New" w:hAnsi="Courier New"/>
          <w:b w:val="1"/>
        </w:rPr>
        <w:t>.-</w:t>
      </w:r>
    </w:p>
    <w:p>
      <w:pPr>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...///5.-</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w:t>
      </w:r>
      <w:r>
        <w:rPr>
          <w:rStyle w:val="C3"/>
          <w:rFonts w:ascii="Courier New" w:hAnsi="Courier New"/>
          <w:b w:val="1"/>
        </w:rPr>
        <w:t>CESE,</w:t>
      </w:r>
      <w:r>
        <w:rPr>
          <w:rStyle w:val="C3"/>
          <w:rFonts w:ascii="Courier New" w:hAnsi="Courier New"/>
        </w:rPr>
        <w:t xml:space="preserve"> comuníquese al Departamento Ejecutivo, publíquese en el Boletín Oficial de la ciudad de Alta Gracia, dese al Registro Municipal, a la Secretaría de Gobierno dependiente del Ministerio de Gobierno de la Provincia de Córdoba a sus efectos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DICIEMBRE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D85A596">
      <w:start w:val="0"/>
      <w:numFmt w:val="bullet"/>
      <w:suff w:val="tab"/>
      <w:lvlText w:val=""/>
      <w:lvlJc w:val="left"/>
      <w:pPr>
        <w:ind w:hanging="360" w:left="927"/>
      </w:pPr>
      <w:rPr>
        <w:rFonts w:ascii="Symbol" w:hAnsi="Symbol"/>
      </w:rPr>
    </w:lvl>
    <w:lvl w:ilvl="1" w:tplc="2755E9D1">
      <w:start w:val="1"/>
      <w:numFmt w:val="bullet"/>
      <w:suff w:val="tab"/>
      <w:lvlText w:val="o"/>
      <w:lvlJc w:val="left"/>
      <w:pPr>
        <w:ind w:hanging="360" w:left="1647"/>
      </w:pPr>
      <w:rPr>
        <w:rFonts w:ascii="Courier New" w:hAnsi="Courier New"/>
      </w:rPr>
    </w:lvl>
    <w:lvl w:ilvl="2" w:tplc="4551B606">
      <w:start w:val="1"/>
      <w:numFmt w:val="bullet"/>
      <w:suff w:val="tab"/>
      <w:lvlText w:val=""/>
      <w:lvlJc w:val="left"/>
      <w:pPr>
        <w:ind w:hanging="360" w:left="2367"/>
      </w:pPr>
      <w:rPr>
        <w:rFonts w:ascii="Wingdings" w:hAnsi="Wingdings"/>
      </w:rPr>
    </w:lvl>
    <w:lvl w:ilvl="3" w:tplc="5D56F651">
      <w:start w:val="1"/>
      <w:numFmt w:val="bullet"/>
      <w:suff w:val="tab"/>
      <w:lvlText w:val=""/>
      <w:lvlJc w:val="left"/>
      <w:pPr>
        <w:ind w:hanging="360" w:left="3087"/>
      </w:pPr>
      <w:rPr>
        <w:rFonts w:ascii="Symbol" w:hAnsi="Symbol"/>
      </w:rPr>
    </w:lvl>
    <w:lvl w:ilvl="4" w:tplc="036BF088">
      <w:start w:val="1"/>
      <w:numFmt w:val="bullet"/>
      <w:suff w:val="tab"/>
      <w:lvlText w:val="o"/>
      <w:lvlJc w:val="left"/>
      <w:pPr>
        <w:ind w:hanging="360" w:left="3807"/>
      </w:pPr>
      <w:rPr>
        <w:rFonts w:ascii="Courier New" w:hAnsi="Courier New"/>
      </w:rPr>
    </w:lvl>
    <w:lvl w:ilvl="5" w:tplc="77EB72C6">
      <w:start w:val="1"/>
      <w:numFmt w:val="bullet"/>
      <w:suff w:val="tab"/>
      <w:lvlText w:val=""/>
      <w:lvlJc w:val="left"/>
      <w:pPr>
        <w:ind w:hanging="360" w:left="4527"/>
      </w:pPr>
      <w:rPr>
        <w:rFonts w:ascii="Wingdings" w:hAnsi="Wingdings"/>
      </w:rPr>
    </w:lvl>
    <w:lvl w:ilvl="6" w:tplc="6ABD46D0">
      <w:start w:val="1"/>
      <w:numFmt w:val="bullet"/>
      <w:suff w:val="tab"/>
      <w:lvlText w:val=""/>
      <w:lvlJc w:val="left"/>
      <w:pPr>
        <w:ind w:hanging="360" w:left="5247"/>
      </w:pPr>
      <w:rPr>
        <w:rFonts w:ascii="Symbol" w:hAnsi="Symbol"/>
      </w:rPr>
    </w:lvl>
    <w:lvl w:ilvl="7" w:tplc="7D7507FD">
      <w:start w:val="1"/>
      <w:numFmt w:val="bullet"/>
      <w:suff w:val="tab"/>
      <w:lvlText w:val="o"/>
      <w:lvlJc w:val="left"/>
      <w:pPr>
        <w:ind w:hanging="360" w:left="5967"/>
      </w:pPr>
      <w:rPr>
        <w:rFonts w:ascii="Courier New" w:hAnsi="Courier New"/>
      </w:rPr>
    </w:lvl>
    <w:lvl w:ilvl="8" w:tplc="03D6544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FE46E2A">
      <w:start w:val="0"/>
      <w:numFmt w:val="bullet"/>
      <w:suff w:val="tab"/>
      <w:lvlText w:val="-"/>
      <w:lvlJc w:val="left"/>
      <w:pPr>
        <w:ind w:hanging="360" w:left="720"/>
        <w:tabs>
          <w:tab w:val="left" w:pos="720" w:leader="none"/>
        </w:tabs>
      </w:pPr>
      <w:rPr>
        <w:rFonts w:ascii="Times New Roman" w:hAnsi="Times New Roman"/>
      </w:rPr>
    </w:lvl>
    <w:lvl w:ilvl="1" w:tplc="7CCD4430">
      <w:start w:val="1"/>
      <w:numFmt w:val="bullet"/>
      <w:suff w:val="tab"/>
      <w:lvlText w:val="o"/>
      <w:lvlJc w:val="left"/>
      <w:pPr>
        <w:ind w:hanging="360" w:left="1440"/>
        <w:tabs>
          <w:tab w:val="left" w:pos="1440" w:leader="none"/>
        </w:tabs>
      </w:pPr>
      <w:rPr>
        <w:rFonts w:ascii="Courier New" w:hAnsi="Courier New"/>
      </w:rPr>
    </w:lvl>
    <w:lvl w:ilvl="2" w:tplc="1047DB4E">
      <w:start w:val="1"/>
      <w:numFmt w:val="bullet"/>
      <w:suff w:val="tab"/>
      <w:lvlText w:val=""/>
      <w:lvlJc w:val="left"/>
      <w:pPr>
        <w:ind w:hanging="360" w:left="2160"/>
        <w:tabs>
          <w:tab w:val="left" w:pos="2160" w:leader="none"/>
        </w:tabs>
      </w:pPr>
      <w:rPr>
        <w:rFonts w:ascii="Wingdings" w:hAnsi="Wingdings"/>
      </w:rPr>
    </w:lvl>
    <w:lvl w:ilvl="3" w:tplc="0E2CC3E3">
      <w:start w:val="1"/>
      <w:numFmt w:val="bullet"/>
      <w:suff w:val="tab"/>
      <w:lvlText w:val=""/>
      <w:lvlJc w:val="left"/>
      <w:pPr>
        <w:ind w:hanging="360" w:left="2880"/>
        <w:tabs>
          <w:tab w:val="left" w:pos="2880" w:leader="none"/>
        </w:tabs>
      </w:pPr>
      <w:rPr>
        <w:rFonts w:ascii="Symbol" w:hAnsi="Symbol"/>
      </w:rPr>
    </w:lvl>
    <w:lvl w:ilvl="4" w:tplc="2BD86B68">
      <w:start w:val="1"/>
      <w:numFmt w:val="bullet"/>
      <w:suff w:val="tab"/>
      <w:lvlText w:val="o"/>
      <w:lvlJc w:val="left"/>
      <w:pPr>
        <w:ind w:hanging="360" w:left="3600"/>
        <w:tabs>
          <w:tab w:val="left" w:pos="3600" w:leader="none"/>
        </w:tabs>
      </w:pPr>
      <w:rPr>
        <w:rFonts w:ascii="Courier New" w:hAnsi="Courier New"/>
      </w:rPr>
    </w:lvl>
    <w:lvl w:ilvl="5" w:tplc="63911DB2">
      <w:start w:val="1"/>
      <w:numFmt w:val="bullet"/>
      <w:suff w:val="tab"/>
      <w:lvlText w:val=""/>
      <w:lvlJc w:val="left"/>
      <w:pPr>
        <w:ind w:hanging="360" w:left="4320"/>
        <w:tabs>
          <w:tab w:val="left" w:pos="4320" w:leader="none"/>
        </w:tabs>
      </w:pPr>
      <w:rPr>
        <w:rFonts w:ascii="Wingdings" w:hAnsi="Wingdings"/>
      </w:rPr>
    </w:lvl>
    <w:lvl w:ilvl="6" w:tplc="7F2C1CB9">
      <w:start w:val="1"/>
      <w:numFmt w:val="bullet"/>
      <w:suff w:val="tab"/>
      <w:lvlText w:val=""/>
      <w:lvlJc w:val="left"/>
      <w:pPr>
        <w:ind w:hanging="360" w:left="5040"/>
        <w:tabs>
          <w:tab w:val="left" w:pos="5040" w:leader="none"/>
        </w:tabs>
      </w:pPr>
      <w:rPr>
        <w:rFonts w:ascii="Symbol" w:hAnsi="Symbol"/>
      </w:rPr>
    </w:lvl>
    <w:lvl w:ilvl="7" w:tplc="063D6254">
      <w:start w:val="1"/>
      <w:numFmt w:val="bullet"/>
      <w:suff w:val="tab"/>
      <w:lvlText w:val="o"/>
      <w:lvlJc w:val="left"/>
      <w:pPr>
        <w:ind w:hanging="360" w:left="5760"/>
        <w:tabs>
          <w:tab w:val="left" w:pos="5760" w:leader="none"/>
        </w:tabs>
      </w:pPr>
      <w:rPr>
        <w:rFonts w:ascii="Courier New" w:hAnsi="Courier New"/>
      </w:rPr>
    </w:lvl>
    <w:lvl w:ilvl="8" w:tplc="3EAE562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AA47E53">
      <w:start w:val="1"/>
      <w:numFmt w:val="bullet"/>
      <w:suff w:val="tab"/>
      <w:lvlText w:val=""/>
      <w:lvlJc w:val="left"/>
      <w:pPr>
        <w:ind w:hanging="360" w:left="720"/>
        <w:tabs>
          <w:tab w:val="left" w:pos="720" w:leader="none"/>
        </w:tabs>
      </w:pPr>
      <w:rPr>
        <w:rFonts w:ascii="Symbol" w:hAnsi="Symbol"/>
      </w:rPr>
    </w:lvl>
    <w:lvl w:ilvl="1" w:tplc="78803F22">
      <w:start w:val="1"/>
      <w:numFmt w:val="bullet"/>
      <w:suff w:val="tab"/>
      <w:lvlText w:val="o"/>
      <w:lvlJc w:val="left"/>
      <w:pPr>
        <w:ind w:hanging="360" w:left="1440"/>
        <w:tabs>
          <w:tab w:val="left" w:pos="1440" w:leader="none"/>
        </w:tabs>
      </w:pPr>
      <w:rPr>
        <w:rFonts w:ascii="Courier New" w:hAnsi="Courier New"/>
      </w:rPr>
    </w:lvl>
    <w:lvl w:ilvl="2" w:tplc="1FDE3A30">
      <w:start w:val="1"/>
      <w:numFmt w:val="bullet"/>
      <w:suff w:val="tab"/>
      <w:lvlText w:val=""/>
      <w:lvlJc w:val="left"/>
      <w:pPr>
        <w:ind w:hanging="360" w:left="2160"/>
        <w:tabs>
          <w:tab w:val="left" w:pos="2160" w:leader="none"/>
        </w:tabs>
      </w:pPr>
      <w:rPr>
        <w:rFonts w:ascii="Wingdings" w:hAnsi="Wingdings"/>
      </w:rPr>
    </w:lvl>
    <w:lvl w:ilvl="3" w:tplc="1CBCF499">
      <w:start w:val="1"/>
      <w:numFmt w:val="bullet"/>
      <w:suff w:val="tab"/>
      <w:lvlText w:val=""/>
      <w:lvlJc w:val="left"/>
      <w:pPr>
        <w:ind w:hanging="360" w:left="2880"/>
        <w:tabs>
          <w:tab w:val="left" w:pos="2880" w:leader="none"/>
        </w:tabs>
      </w:pPr>
      <w:rPr>
        <w:rFonts w:ascii="Symbol" w:hAnsi="Symbol"/>
      </w:rPr>
    </w:lvl>
    <w:lvl w:ilvl="4" w:tplc="3AB2E2DA">
      <w:start w:val="1"/>
      <w:numFmt w:val="bullet"/>
      <w:suff w:val="tab"/>
      <w:lvlText w:val="o"/>
      <w:lvlJc w:val="left"/>
      <w:pPr>
        <w:ind w:hanging="360" w:left="3600"/>
        <w:tabs>
          <w:tab w:val="left" w:pos="3600" w:leader="none"/>
        </w:tabs>
      </w:pPr>
      <w:rPr>
        <w:rFonts w:ascii="Courier New" w:hAnsi="Courier New"/>
      </w:rPr>
    </w:lvl>
    <w:lvl w:ilvl="5" w:tplc="4E5D84ED">
      <w:start w:val="1"/>
      <w:numFmt w:val="bullet"/>
      <w:suff w:val="tab"/>
      <w:lvlText w:val=""/>
      <w:lvlJc w:val="left"/>
      <w:pPr>
        <w:ind w:hanging="360" w:left="4320"/>
        <w:tabs>
          <w:tab w:val="left" w:pos="4320" w:leader="none"/>
        </w:tabs>
      </w:pPr>
      <w:rPr>
        <w:rFonts w:ascii="Wingdings" w:hAnsi="Wingdings"/>
      </w:rPr>
    </w:lvl>
    <w:lvl w:ilvl="6" w:tplc="2027A706">
      <w:start w:val="1"/>
      <w:numFmt w:val="bullet"/>
      <w:suff w:val="tab"/>
      <w:lvlText w:val=""/>
      <w:lvlJc w:val="left"/>
      <w:pPr>
        <w:ind w:hanging="360" w:left="5040"/>
        <w:tabs>
          <w:tab w:val="left" w:pos="5040" w:leader="none"/>
        </w:tabs>
      </w:pPr>
      <w:rPr>
        <w:rFonts w:ascii="Symbol" w:hAnsi="Symbol"/>
      </w:rPr>
    </w:lvl>
    <w:lvl w:ilvl="7" w:tplc="350CBEC3">
      <w:start w:val="1"/>
      <w:numFmt w:val="bullet"/>
      <w:suff w:val="tab"/>
      <w:lvlText w:val="o"/>
      <w:lvlJc w:val="left"/>
      <w:pPr>
        <w:ind w:hanging="360" w:left="5760"/>
        <w:tabs>
          <w:tab w:val="left" w:pos="5760" w:leader="none"/>
        </w:tabs>
      </w:pPr>
      <w:rPr>
        <w:rFonts w:ascii="Courier New" w:hAnsi="Courier New"/>
      </w:rPr>
    </w:lvl>
    <w:lvl w:ilvl="8" w:tplc="6E20EC7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0176FE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2010-12-22T16:05:00Z</dcterms:created>
  <cp:lastModifiedBy>Ethan Puglia</cp:lastModifiedBy>
  <cp:lastPrinted>2010-12-22T12:53:00Z</cp:lastPrinted>
  <dcterms:modified xsi:type="dcterms:W3CDTF">2019-03-28T17:34:28Z</dcterms:modified>
  <cp:revision>8</cp:revision>
  <dc:title>PROYECTO DE ORDENANZA VIOLENCIA FAMILIAR</dc:title>
</cp:coreProperties>
</file>