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14A5F83C" Type="http://schemas.openxmlformats.org/officeDocument/2006/relationships/officeDocument" Target="/word/document.xml" /><Relationship Id="coreR14A5F83C"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29"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pStyle w:val="P4"/>
        <w:ind w:left="142"/>
        <w:rPr>
          <w:rStyle w:val="C3"/>
        </w:rPr>
      </w:pPr>
    </w:p>
    <w:p>
      <w:pPr>
        <w:pStyle w:val="P4"/>
        <w:ind w:left="142"/>
        <w:rPr>
          <w:rStyle w:val="C3"/>
        </w:rPr>
      </w:pPr>
    </w:p>
    <w:p>
      <w:pPr>
        <w:pStyle w:val="P4"/>
        <w:ind w:left="142"/>
      </w:pPr>
      <w:r>
        <w:t>ORDENANZA Nº 8822</w:t>
      </w:r>
    </w:p>
    <w:p>
      <w:pPr>
        <w:ind w:left="142"/>
      </w:pPr>
    </w:p>
    <w:p>
      <w:pPr>
        <w:ind w:left="142"/>
      </w:pPr>
    </w:p>
    <w:p>
      <w:pPr>
        <w:ind w:hanging="426" w:left="142"/>
        <w:jc w:val="both"/>
        <w:rPr>
          <w:rStyle w:val="C3"/>
          <w:rFonts w:ascii="Courier New" w:hAnsi="Courier New"/>
        </w:rPr>
      </w:pPr>
      <w:r>
        <w:rPr>
          <w:rStyle w:val="C3"/>
          <w:rFonts w:ascii="Courier New" w:hAnsi="Courier New"/>
        </w:rPr>
        <w:t>Visto: El Fondo Permanente para la Financiación de Proyectos y Programas de los Gobiernos Locales de la Provincia de Córdoba; y</w:t>
      </w:r>
    </w:p>
    <w:p>
      <w:pPr>
        <w:ind w:hanging="426" w:left="142"/>
        <w:jc w:val="both"/>
        <w:rPr>
          <w:rStyle w:val="C3"/>
          <w:rFonts w:ascii="Courier New" w:hAnsi="Courier New"/>
        </w:rPr>
      </w:pPr>
    </w:p>
    <w:p>
      <w:pPr>
        <w:tabs>
          <w:tab w:val="left" w:pos="5255" w:leader="none"/>
        </w:tabs>
        <w:ind w:hanging="561" w:left="142"/>
        <w:jc w:val="both"/>
        <w:rPr>
          <w:rStyle w:val="C3"/>
          <w:rFonts w:ascii="Courier New" w:hAnsi="Courier New"/>
        </w:rPr>
      </w:pPr>
      <w:r>
        <w:rPr>
          <w:rStyle w:val="C3"/>
          <w:rFonts w:ascii="Courier New" w:hAnsi="Courier New"/>
        </w:rPr>
        <w:tab/>
        <w:tab/>
      </w:r>
    </w:p>
    <w:p>
      <w:pPr>
        <w:pStyle w:val="P2"/>
        <w:ind w:left="142"/>
      </w:pPr>
      <w:r>
        <w:t>C O N S I D E R A N D O</w:t>
      </w:r>
    </w:p>
    <w:p>
      <w:pPr>
        <w:tabs>
          <w:tab w:val="left" w:pos="2824" w:leader="none"/>
        </w:tabs>
        <w:ind w:left="142"/>
      </w:pPr>
      <w:r>
        <w:tab/>
      </w:r>
    </w:p>
    <w:p>
      <w:pPr>
        <w:tabs>
          <w:tab w:val="left" w:pos="2824" w:leader="none"/>
        </w:tabs>
        <w:ind w:left="142"/>
      </w:pPr>
    </w:p>
    <w:p>
      <w:pPr>
        <w:ind w:left="142"/>
        <w:jc w:val="both"/>
        <w:rPr>
          <w:rStyle w:val="C3"/>
          <w:rFonts w:ascii="Courier New" w:hAnsi="Courier New"/>
        </w:rPr>
      </w:pPr>
      <w:r>
        <w:rPr>
          <w:rStyle w:val="C3"/>
          <w:rFonts w:ascii="Courier New" w:hAnsi="Courier New"/>
        </w:rPr>
        <w:t>Que el Departamento Ejecutivo ha fijado las prioridades que debe encarar su gestión durante el año 2011;</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de acuerdo a ello se determina como sumamente necesario continuar avanzando en la pavimentación de calles de la Ciudad, tratando de mejorar la calidad de vida de los vecinos y disminuyendo los costos de mantenimiento de calles de tierra;</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la realización de obras públicas de esta naturaleza, imprescindibles para el desarrollo de la Ciudad, significan una erogación importante de recursos en un tiempo más acelerado al de su obtención mediante la recaudación tributaria;</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el acceso al crédito se ve dificultado para los Gobiernos Municipales;</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Que siguiendo esta tesitura el Fondo Permanente para la Financiación de Proyectos y Programas de los Gobiernos Locales de la Provincia de Córdoba se presenta como un recurso extraordinario y muy conveniente, dado que no genera carga financiera alguna;</w:t>
      </w:r>
    </w:p>
    <w:p>
      <w:pPr>
        <w:ind w:left="142"/>
        <w:jc w:val="right"/>
        <w:rPr>
          <w:rStyle w:val="C3"/>
          <w:rFonts w:ascii="Courier New" w:hAnsi="Courier New"/>
        </w:rPr>
      </w:pPr>
      <w:r>
        <w:rPr>
          <w:rStyle w:val="C3"/>
          <w:rFonts w:ascii="Courier New" w:hAnsi="Courier New"/>
        </w:rPr>
        <w:t>...///</w:t>
      </w: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ind w:left="142"/>
        <w:jc w:val="right"/>
        <w:rPr>
          <w:rStyle w:val="C3"/>
          <w:rFonts w:ascii="Courier New" w:hAnsi="Courier New"/>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pStyle w:val="P16"/>
        <w:spacing w:lineRule="exact" w:line="340"/>
        <w:ind w:left="142"/>
        <w:jc w:val="both"/>
        <w:rPr>
          <w:rStyle w:val="C3"/>
          <w:rFonts w:ascii="Courier New" w:hAnsi="Courier New"/>
          <w:b w:val="1"/>
          <w:sz w:val="24"/>
        </w:rPr>
      </w:pPr>
    </w:p>
    <w:p>
      <w:pPr>
        <w:tabs>
          <w:tab w:val="left" w:pos="426" w:leader="none"/>
        </w:tabs>
        <w:ind w:left="142"/>
        <w:jc w:val="both"/>
        <w:rPr>
          <w:rStyle w:val="C3"/>
          <w:rFonts w:ascii="Courier New" w:hAnsi="Courier New"/>
        </w:rPr>
      </w:pPr>
      <w:r>
        <w:rPr>
          <w:rStyle w:val="C3"/>
          <w:rFonts w:ascii="Courier New" w:hAnsi="Courier New"/>
        </w:rPr>
        <w:t>Que el Estado Municipal de la Ciudad de Alta Gracia adhirió al citado Fondo mediante Ordenanza Nº 7074;</w:t>
      </w:r>
    </w:p>
    <w:p>
      <w:pPr>
        <w:tabs>
          <w:tab w:val="left" w:pos="426" w:leader="none"/>
        </w:tabs>
        <w:ind w:left="142"/>
        <w:jc w:val="both"/>
        <w:rPr>
          <w:rStyle w:val="C3"/>
          <w:rFonts w:ascii="Courier New" w:hAnsi="Courier New"/>
        </w:rPr>
      </w:pPr>
    </w:p>
    <w:p>
      <w:pPr>
        <w:tabs>
          <w:tab w:val="left" w:pos="426" w:leader="none"/>
        </w:tabs>
        <w:ind w:left="142"/>
        <w:jc w:val="both"/>
        <w:rPr>
          <w:rStyle w:val="C3"/>
          <w:rFonts w:ascii="Courier New" w:hAnsi="Courier New"/>
        </w:rPr>
      </w:pPr>
      <w:r>
        <w:rPr>
          <w:rStyle w:val="C3"/>
          <w:rFonts w:ascii="Courier New" w:hAnsi="Courier New"/>
        </w:rPr>
        <w:t>Que es menester facultar al Departamento Ejecutivo mediante Ordenanza aprobatoria del proyecto de pavimentación, y autorización para la toma del préstamo y su restitución por cesión de coparticipación con garantía subsidiaria de las rentas municipales;</w:t>
      </w:r>
    </w:p>
    <w:p>
      <w:pPr>
        <w:ind w:left="142"/>
        <w:jc w:val="both"/>
        <w:rPr>
          <w:rStyle w:val="C3"/>
          <w:rFonts w:ascii="Courier New" w:hAnsi="Courier New"/>
        </w:rPr>
      </w:pPr>
    </w:p>
    <w:p>
      <w:pPr>
        <w:ind w:left="142"/>
        <w:jc w:val="both"/>
        <w:rPr>
          <w:rStyle w:val="C3"/>
          <w:rFonts w:ascii="Courier New" w:hAnsi="Courier New"/>
        </w:rPr>
      </w:pPr>
      <w:r>
        <w:rPr>
          <w:rStyle w:val="C3"/>
          <w:rFonts w:ascii="Courier New" w:hAnsi="Courier New"/>
        </w:rPr>
        <w:t xml:space="preserve">Que evaluado el asunto en cuestión por la totalidad de los Concejales presentes, se resuelve por unanimidad su aprobación en sesión Extraordinaria del día 28 de Diciembre de 2010.- </w:t>
      </w: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p>
    <w:p>
      <w:pPr>
        <w:pStyle w:val="P11"/>
        <w:ind w:left="142"/>
        <w:jc w:val="center"/>
        <w:rPr>
          <w:rStyle w:val="C3"/>
          <w:b w:val="1"/>
        </w:rPr>
      </w:pPr>
      <w:r>
        <w:rPr>
          <w:rStyle w:val="C3"/>
          <w:b w:val="1"/>
        </w:rPr>
        <w:t>EL HONORABLE CONCEJO DELIBERANTE DE LA CIUDAD DE</w:t>
      </w:r>
    </w:p>
    <w:p>
      <w:pPr>
        <w:ind w:left="142"/>
        <w:jc w:val="center"/>
        <w:rPr>
          <w:rStyle w:val="C3"/>
          <w:rFonts w:ascii="Courier New" w:hAnsi="Courier New"/>
          <w:b w:val="1"/>
        </w:rPr>
      </w:pPr>
    </w:p>
    <w:p>
      <w:pPr>
        <w:pStyle w:val="P12"/>
        <w:ind w:left="142"/>
        <w:jc w:val="center"/>
        <w:rPr>
          <w:rStyle w:val="C3"/>
          <w:b w:val="1"/>
        </w:rPr>
      </w:pPr>
      <w:r>
        <w:rPr>
          <w:rStyle w:val="C3"/>
          <w:b w:val="1"/>
        </w:rPr>
        <w:t>ALTA GRACIA SANCIONA CON FUERZA DE ORDENANZA</w:t>
      </w:r>
    </w:p>
    <w:p>
      <w:pPr>
        <w:pStyle w:val="P11"/>
        <w:ind w:left="142"/>
        <w:jc w:val="right"/>
        <w:rPr>
          <w:rStyle w:val="C3"/>
        </w:rPr>
      </w:pPr>
    </w:p>
    <w:p>
      <w:pPr>
        <w:pStyle w:val="P11"/>
        <w:ind w:left="142"/>
        <w:jc w:val="right"/>
        <w:rPr>
          <w:rStyle w:val="C3"/>
        </w:rPr>
      </w:pPr>
    </w:p>
    <w:p>
      <w:pPr>
        <w:ind w:hanging="426" w:left="142"/>
        <w:jc w:val="both"/>
        <w:rPr>
          <w:rStyle w:val="C3"/>
          <w:rFonts w:ascii="Courier New" w:hAnsi="Courier New"/>
        </w:rPr>
      </w:pPr>
    </w:p>
    <w:p>
      <w:pPr>
        <w:pStyle w:val="P16"/>
        <w:tabs>
          <w:tab w:val="left" w:pos="0" w:leader="none"/>
        </w:tabs>
        <w:spacing w:lineRule="exact" w:line="340"/>
        <w:ind w:hanging="426" w:left="142"/>
        <w:jc w:val="both"/>
        <w:rPr>
          <w:rStyle w:val="C3"/>
          <w:rFonts w:ascii="Courier New" w:hAnsi="Courier New"/>
          <w:b w:val="1"/>
          <w:sz w:val="24"/>
        </w:rPr>
      </w:pPr>
      <w:r>
        <w:rPr>
          <w:rStyle w:val="C3"/>
          <w:rFonts w:ascii="Courier New" w:hAnsi="Courier New"/>
          <w:sz w:val="24"/>
          <w:u w:val="single"/>
        </w:rPr>
        <w:t>Art.1</w:t>
      </w:r>
      <w:r>
        <w:rPr>
          <w:rStyle w:val="C3"/>
          <w:rFonts w:ascii="Courier New" w:hAnsi="Courier New"/>
          <w:sz w:val="24"/>
        </w:rPr>
        <w:t>:</w:t>
      </w:r>
      <w:r>
        <w:rPr>
          <w:rStyle w:val="C3"/>
          <w:rFonts w:ascii="Courier New" w:hAnsi="Courier New"/>
          <w:b w:val="0"/>
          <w:sz w:val="24"/>
        </w:rPr>
        <w:t xml:space="preserve"> </w:t>
      </w:r>
      <w:r>
        <w:rPr>
          <w:rStyle w:val="C3"/>
          <w:rFonts w:ascii="Courier New" w:hAnsi="Courier New"/>
          <w:sz w:val="24"/>
        </w:rPr>
        <w:t xml:space="preserve">APRUÉBASE </w:t>
      </w:r>
      <w:r>
        <w:rPr>
          <w:rStyle w:val="C3"/>
          <w:rFonts w:ascii="Courier New" w:hAnsi="Courier New"/>
          <w:b w:val="0"/>
          <w:sz w:val="24"/>
        </w:rPr>
        <w:t>el Proyecto de Pavimentación que se incorpora como ANEXO I de esta Ordenanza</w:t>
      </w:r>
      <w:r>
        <w:rPr>
          <w:rStyle w:val="C3"/>
          <w:rFonts w:ascii="Courier New" w:hAnsi="Courier New"/>
          <w:b w:val="0"/>
          <w:sz w:val="24"/>
        </w:rPr>
        <w:t>.</w:t>
      </w:r>
      <w:r>
        <w:rPr>
          <w:rStyle w:val="C3"/>
          <w:rFonts w:ascii="Courier New" w:hAnsi="Courier New"/>
          <w:b w:val="0"/>
          <w:sz w:val="24"/>
        </w:rPr>
        <w:t>-</w:t>
      </w:r>
      <w:r>
        <w:rPr>
          <w:rStyle w:val="C3"/>
          <w:rFonts w:ascii="Courier New" w:hAnsi="Courier New"/>
          <w:b w:val="0"/>
          <w:sz w:val="24"/>
        </w:rPr>
        <w:t xml:space="preserve">  </w:t>
      </w:r>
    </w:p>
    <w:p>
      <w:pPr>
        <w:ind w:hanging="426" w:left="142"/>
        <w:jc w:val="both"/>
        <w:rPr>
          <w:rStyle w:val="C3"/>
          <w:rFonts w:ascii="Courier New" w:hAnsi="Courier New"/>
        </w:rPr>
      </w:pPr>
    </w:p>
    <w:p>
      <w:pPr>
        <w:ind w:hanging="426" w:left="142"/>
        <w:jc w:val="both"/>
        <w:rPr>
          <w:rStyle w:val="C3"/>
          <w:rFonts w:ascii="Courier New" w:hAnsi="Courier New"/>
          <w:u w:val="single"/>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FACÚLTASE</w:t>
      </w:r>
      <w:r>
        <w:rPr>
          <w:rStyle w:val="C3"/>
          <w:rFonts w:ascii="Courier New" w:hAnsi="Courier New"/>
        </w:rPr>
        <w:t>,</w:t>
      </w:r>
      <w:r>
        <w:rPr>
          <w:rStyle w:val="C3"/>
          <w:rFonts w:ascii="Courier New" w:hAnsi="Courier New"/>
          <w:b w:val="1"/>
        </w:rPr>
        <w:t xml:space="preserve"> </w:t>
      </w:r>
      <w:r>
        <w:rPr>
          <w:rStyle w:val="C3"/>
          <w:rFonts w:ascii="Courier New" w:hAnsi="Courier New"/>
        </w:rPr>
        <w:t>al Departamento Ejecutivo Municipal para que gestione y tome del FONDO PERMANENTE PARA LA FINANCIACIÓN DE PROYECTOS Y PROGRAMAS DE LOS GOBIERNOS LOCALES DE LA PROVINCIA DE CÓRDOBA, un préstamo de hasta PESOS UN MILLÓN DOSCIENTOS MIL ($1.200.000,oo.-) con destino a la ejecución del Proyecto que se aprueba en el Art.1º.-</w:t>
      </w:r>
    </w:p>
    <w:p>
      <w:pPr>
        <w:pStyle w:val="P16"/>
        <w:tabs>
          <w:tab w:val="left" w:pos="0" w:leader="none"/>
        </w:tabs>
        <w:spacing w:lineRule="exact" w:line="340"/>
        <w:ind w:hanging="993" w:left="142"/>
        <w:jc w:val="right"/>
        <w:rPr>
          <w:rStyle w:val="C3"/>
          <w:rFonts w:ascii="Courier New" w:hAnsi="Courier New"/>
          <w:b w:val="1"/>
          <w:sz w:val="24"/>
        </w:rPr>
      </w:pPr>
      <w:r>
        <w:rPr>
          <w:rStyle w:val="C3"/>
          <w:rFonts w:ascii="Courier New" w:hAnsi="Courier New"/>
          <w:b w:val="0"/>
          <w:sz w:val="24"/>
        </w:rPr>
        <w:tab/>
      </w:r>
    </w:p>
    <w:p>
      <w:pPr>
        <w:pStyle w:val="P16"/>
        <w:tabs>
          <w:tab w:val="left" w:pos="0" w:leader="none"/>
        </w:tabs>
        <w:spacing w:lineRule="exact" w:line="340"/>
        <w:ind w:hanging="993" w:left="142"/>
        <w:jc w:val="right"/>
        <w:rPr>
          <w:rStyle w:val="C3"/>
          <w:rFonts w:ascii="Courier New" w:hAnsi="Courier New"/>
          <w:b w:val="1"/>
          <w:sz w:val="24"/>
        </w:rPr>
      </w:pPr>
      <w:r>
        <w:rPr>
          <w:rStyle w:val="C3"/>
          <w:rFonts w:ascii="Courier New" w:hAnsi="Courier New"/>
          <w:b w:val="0"/>
          <w:sz w:val="24"/>
        </w:rPr>
        <w:t>...///</w:t>
      </w: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tabs>
          <w:tab w:val="left" w:pos="0" w:leader="none"/>
        </w:tabs>
        <w:spacing w:lineRule="exact" w:line="340"/>
        <w:ind w:hanging="993" w:left="142"/>
        <w:jc w:val="right"/>
        <w:rPr>
          <w:rStyle w:val="C3"/>
          <w:rFonts w:ascii="Courier New" w:hAnsi="Courier New"/>
          <w:b w:val="1"/>
          <w:sz w:val="24"/>
        </w:rPr>
      </w:pPr>
    </w:p>
    <w:p>
      <w:pPr>
        <w:pStyle w:val="P16"/>
        <w:ind w:left="142"/>
        <w:jc w:val="center"/>
        <w:rPr>
          <w:rStyle w:val="C3"/>
          <w:rFonts w:ascii="JaneAusten" w:hAnsi="JaneAusten"/>
          <w:b w:val="1"/>
          <w:sz w:val="24"/>
        </w:rPr>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FACÚLTASE</w:t>
      </w:r>
      <w:r>
        <w:rPr>
          <w:rStyle w:val="C3"/>
          <w:rFonts w:ascii="Courier New" w:hAnsi="Courier New"/>
        </w:rPr>
        <w:t xml:space="preserve"> al Departamento Ejecutivo para que, en pago del crédito que obtenga en ejercicio de la facultad que se le confiere por el artículo anterior, ceda al Fondo que le otorgue el préstamo, de la coparticipación que mensualmente corresponda al Municipio en los impuestos provinciales, conforme a la Ley Nº 8663, o la que en el futuro la sustituya o modifique, hasta la suma de PESOS TREINTA Y TRES MIL TRESCIENTOS TREINTA Y TRES CON TREINTA Y TRES CENTAVOS ($33.333,33) mensuales durante el termino máximo de  TREINTA Y SEIS (36) meses.-</w:t>
        <w:tab/>
      </w:r>
    </w:p>
    <w:p>
      <w:pPr>
        <w:jc w:val="both"/>
        <w:rPr>
          <w:rStyle w:val="C3"/>
          <w:rFonts w:ascii="Courier New" w:hAnsi="Courier New"/>
        </w:rPr>
      </w:pPr>
    </w:p>
    <w:p>
      <w:pPr>
        <w:tabs>
          <w:tab w:val="left" w:pos="0" w:leader="none"/>
        </w:tabs>
        <w:ind w:hanging="426" w:left="426"/>
        <w:jc w:val="both"/>
        <w:rPr>
          <w:rStyle w:val="C3"/>
          <w:rFonts w:ascii="Courier New" w:hAnsi="Courier New"/>
        </w:rPr>
      </w:pPr>
      <w:r>
        <w:rPr>
          <w:rStyle w:val="C3"/>
          <w:rFonts w:ascii="Courier New" w:hAnsi="Courier New"/>
          <w:b w:val="1"/>
          <w:u w:val="single"/>
        </w:rPr>
        <w:t>Art.4</w:t>
      </w:r>
      <w:r>
        <w:rPr>
          <w:rStyle w:val="C3"/>
          <w:rFonts w:ascii="Courier New" w:hAnsi="Courier New"/>
          <w:b w:val="1"/>
        </w:rPr>
        <w:t xml:space="preserve">: FACÚLTASE </w:t>
      </w:r>
      <w:r>
        <w:rPr>
          <w:rStyle w:val="C3"/>
          <w:rFonts w:ascii="Courier New" w:hAnsi="Courier New"/>
        </w:rPr>
        <w:t>al Departamento Ejecutivo para que, notifique formalmente a la Provincia de la cesión que efectúe en ejercicio de la facultad que se le confiere por el artículo anterior, noticiándola de que, en mérito a la cesión, deberá mensualmente pagar la suma cedida directamente al cesionario.-</w:t>
      </w:r>
    </w:p>
    <w:p>
      <w:pPr>
        <w:jc w:val="both"/>
        <w:rPr>
          <w:rStyle w:val="C3"/>
          <w:rFonts w:ascii="Courier New" w:hAnsi="Courier New"/>
        </w:rPr>
      </w:pPr>
      <w:r>
        <w:rPr>
          <w:rStyle w:val="C3"/>
          <w:rFonts w:ascii="Courier New" w:hAnsi="Courier New"/>
        </w:rPr>
        <w:tab/>
      </w:r>
    </w:p>
    <w:p>
      <w:pPr>
        <w:ind w:hanging="426" w:left="426"/>
        <w:jc w:val="both"/>
        <w:rPr>
          <w:rStyle w:val="C3"/>
          <w:rFonts w:ascii="Courier New" w:hAnsi="Courier New"/>
        </w:rPr>
      </w:pPr>
      <w:r>
        <w:rPr>
          <w:rStyle w:val="C3"/>
          <w:rFonts w:ascii="Courier New" w:hAnsi="Courier New"/>
          <w:b w:val="1"/>
          <w:u w:val="single"/>
        </w:rPr>
        <w:t>Art.5</w:t>
      </w:r>
      <w:r>
        <w:rPr>
          <w:rStyle w:val="C3"/>
          <w:rFonts w:ascii="Courier New" w:hAnsi="Courier New"/>
          <w:b w:val="1"/>
        </w:rPr>
        <w:t>: FACÚLTASE</w:t>
      </w:r>
      <w:r>
        <w:rPr>
          <w:rStyle w:val="C3"/>
          <w:rFonts w:ascii="Courier New" w:hAnsi="Courier New"/>
        </w:rPr>
        <w:t xml:space="preserve"> al Departamento Ejecutivo para que garantice la existencia y cobrabilidad del crédito que ceda en ejercicio de la facultad del Art.4º de esta Ordenanza, con los recursos de la Municipalidad de Alta Gracia provenientes de otras fuentes que no sean la coparticipación en los impuestos provinciales.-</w:t>
      </w:r>
    </w:p>
    <w:p>
      <w:pPr>
        <w:jc w:val="both"/>
        <w:rPr>
          <w:rStyle w:val="C3"/>
          <w:rFonts w:ascii="Courier New" w:hAnsi="Courier New"/>
        </w:rPr>
      </w:pPr>
    </w:p>
    <w:p>
      <w:pPr>
        <w:ind w:hanging="426" w:left="426"/>
        <w:jc w:val="both"/>
        <w:rPr>
          <w:rStyle w:val="C3"/>
          <w:rFonts w:ascii="Courier New" w:hAnsi="Courier New"/>
        </w:rPr>
      </w:pPr>
      <w:r>
        <w:rPr>
          <w:rStyle w:val="C3"/>
          <w:rFonts w:ascii="Courier New" w:hAnsi="Courier New"/>
          <w:b w:val="1"/>
          <w:u w:val="single"/>
        </w:rPr>
        <w:t>Art.6</w:t>
      </w:r>
      <w:r>
        <w:rPr>
          <w:rStyle w:val="C3"/>
          <w:rFonts w:ascii="Courier New" w:hAnsi="Courier New"/>
          <w:b w:val="1"/>
        </w:rPr>
        <w:t xml:space="preserve">: IMPÓNESE </w:t>
      </w:r>
      <w:r>
        <w:rPr>
          <w:rStyle w:val="C3"/>
          <w:rFonts w:ascii="Courier New" w:hAnsi="Courier New"/>
        </w:rPr>
        <w:t xml:space="preserve">al Departamento Ejecutivo la obligación de informar a este Honorable Concejo Deliberante, de la rendición de cuentas documentada  por cada tramo de los fondos tomados en ejercicio de la facultad que se le confiere por el Art.2º de esta Ordenanza, efectuada al FONDO PERMANENTE PARA LA FINANCIACIÓN DE PROYECTOS Y PROGRAMAS DE LOS GOBIERNOS LOCALES DE LA PROVINCIA DE CORDOBA.-</w:t>
      </w:r>
    </w:p>
    <w:p>
      <w:pPr>
        <w:ind w:hanging="426" w:left="426"/>
        <w:jc w:val="right"/>
        <w:rPr>
          <w:rStyle w:val="C3"/>
          <w:rFonts w:ascii="Courier New" w:hAnsi="Courier New"/>
        </w:rPr>
      </w:pPr>
      <w:r>
        <w:rPr>
          <w:rStyle w:val="C3"/>
          <w:rFonts w:ascii="Courier New" w:hAnsi="Courier New"/>
        </w:rPr>
        <w:t>...///</w:t>
      </w:r>
    </w:p>
    <w:p>
      <w:pPr>
        <w:ind w:left="142"/>
        <w:jc w:val="both"/>
        <w:rPr>
          <w:rStyle w:val="C3"/>
          <w:rFonts w:ascii="Courier New" w:hAnsi="Courier New"/>
          <w:b w:val="1"/>
          <w:u w:val="single"/>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jc w:val="left"/>
        <w:rPr>
          <w:rStyle w:val="C3"/>
        </w:rPr>
      </w:pPr>
    </w:p>
    <w:p>
      <w:pPr>
        <w:pStyle w:val="P11"/>
        <w:jc w:val="left"/>
      </w:pPr>
      <w:r>
        <w:t>...///4.-</w:t>
      </w:r>
    </w:p>
    <w:p>
      <w:pPr>
        <w:pStyle w:val="P17"/>
        <w:ind w:left="142"/>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 xml:space="preserve">: </w:t>
      </w:r>
      <w:r>
        <w:rPr>
          <w:rStyle w:val="C3"/>
          <w:rFonts w:ascii="Courier New" w:hAnsi="Courier New"/>
          <w:b w:val="1"/>
        </w:rPr>
        <w:t>PROTOCOLÍ</w:t>
      </w:r>
      <w:r>
        <w:rPr>
          <w:rStyle w:val="C3"/>
          <w:rFonts w:ascii="Courier New" w:hAnsi="Courier New"/>
          <w:b w:val="1"/>
        </w:rPr>
        <w:t>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ind w:hanging="426" w:left="426"/>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VEINTIOCHO DÍAS DEL MES DE DICIEMBRE DEL AÑO DOS MIL DIEZ.- </w:t>
      </w: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6"/>
        <w:ind w:left="142"/>
        <w:jc w:val="center"/>
        <w:rPr>
          <w:rStyle w:val="C3"/>
          <w:rFonts w:ascii="JaneAusten" w:hAnsi="JaneAusten"/>
          <w:b w:val="1"/>
          <w:sz w:val="24"/>
        </w:rPr>
      </w:pPr>
    </w:p>
    <w:p>
      <w:pPr>
        <w:pStyle w:val="P16"/>
        <w:ind w:left="142"/>
        <w:jc w:val="center"/>
        <w:rPr>
          <w:rStyle w:val="C3"/>
          <w:b w:val="1"/>
          <w:sz w:val="24"/>
        </w:rPr>
      </w:pPr>
      <w:r>
        <w:rPr>
          <w:rStyle w:val="C3"/>
          <w:rFonts w:ascii="JaneAusten" w:hAnsi="JaneAusten"/>
          <w:b w:val="0"/>
          <w:sz w:val="24"/>
        </w:rPr>
        <w:t>“2010 Año del Bicentenario de la Revolución de Mayo”</w:t>
      </w:r>
    </w:p>
    <w:p>
      <w:pPr>
        <w:pStyle w:val="P11"/>
        <w:jc w:val="left"/>
      </w:pPr>
      <w:r>
        <w:t>...///5.-</w:t>
      </w: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pPr>
    </w:p>
    <w:p>
      <w:pPr>
        <w:pStyle w:val="P17"/>
        <w:ind w:left="142"/>
        <w:jc w:val="center"/>
        <w:rPr>
          <w:rStyle w:val="C3"/>
          <w:sz w:val="144"/>
        </w:rPr>
      </w:pPr>
    </w:p>
    <w:p>
      <w:pPr>
        <w:pStyle w:val="P17"/>
        <w:ind w:left="142"/>
        <w:jc w:val="center"/>
        <w:rPr>
          <w:rStyle w:val="C3"/>
          <w:sz w:val="144"/>
        </w:rPr>
      </w:pPr>
      <w:r>
        <w:rPr>
          <w:rStyle w:val="C3"/>
          <w:sz w:val="144"/>
        </w:rPr>
        <w:t>ANEXO I</w:t>
      </w:r>
    </w:p>
    <w:p>
      <w:pPr>
        <w:pStyle w:val="P17"/>
        <w:ind w:left="142"/>
        <w:jc w:val="center"/>
        <w:rPr>
          <w:rStyle w:val="C3"/>
          <w:sz w:val="144"/>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p>
      <w:pPr>
        <w:pStyle w:val="P17"/>
        <w:ind w:left="142"/>
        <w:rPr>
          <w:rStyle w:val="C3"/>
        </w:rPr>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4B0A71B9">
      <w:start w:val="0"/>
      <w:numFmt w:val="bullet"/>
      <w:suff w:val="tab"/>
      <w:lvlText w:val=""/>
      <w:lvlJc w:val="left"/>
      <w:pPr>
        <w:ind w:hanging="360" w:left="927"/>
      </w:pPr>
      <w:rPr>
        <w:rFonts w:ascii="Symbol" w:hAnsi="Symbol"/>
      </w:rPr>
    </w:lvl>
    <w:lvl w:ilvl="1" w:tplc="750A0F46">
      <w:start w:val="1"/>
      <w:numFmt w:val="bullet"/>
      <w:suff w:val="tab"/>
      <w:lvlText w:val="o"/>
      <w:lvlJc w:val="left"/>
      <w:pPr>
        <w:ind w:hanging="360" w:left="1647"/>
      </w:pPr>
      <w:rPr>
        <w:rFonts w:ascii="Courier New" w:hAnsi="Courier New"/>
      </w:rPr>
    </w:lvl>
    <w:lvl w:ilvl="2" w:tplc="23263952">
      <w:start w:val="1"/>
      <w:numFmt w:val="bullet"/>
      <w:suff w:val="tab"/>
      <w:lvlText w:val=""/>
      <w:lvlJc w:val="left"/>
      <w:pPr>
        <w:ind w:hanging="360" w:left="2367"/>
      </w:pPr>
      <w:rPr>
        <w:rFonts w:ascii="Wingdings" w:hAnsi="Wingdings"/>
      </w:rPr>
    </w:lvl>
    <w:lvl w:ilvl="3" w:tplc="33704110">
      <w:start w:val="1"/>
      <w:numFmt w:val="bullet"/>
      <w:suff w:val="tab"/>
      <w:lvlText w:val=""/>
      <w:lvlJc w:val="left"/>
      <w:pPr>
        <w:ind w:hanging="360" w:left="3087"/>
      </w:pPr>
      <w:rPr>
        <w:rFonts w:ascii="Symbol" w:hAnsi="Symbol"/>
      </w:rPr>
    </w:lvl>
    <w:lvl w:ilvl="4" w:tplc="4A5B0EDA">
      <w:start w:val="1"/>
      <w:numFmt w:val="bullet"/>
      <w:suff w:val="tab"/>
      <w:lvlText w:val="o"/>
      <w:lvlJc w:val="left"/>
      <w:pPr>
        <w:ind w:hanging="360" w:left="3807"/>
      </w:pPr>
      <w:rPr>
        <w:rFonts w:ascii="Courier New" w:hAnsi="Courier New"/>
      </w:rPr>
    </w:lvl>
    <w:lvl w:ilvl="5" w:tplc="49C8DCDC">
      <w:start w:val="1"/>
      <w:numFmt w:val="bullet"/>
      <w:suff w:val="tab"/>
      <w:lvlText w:val=""/>
      <w:lvlJc w:val="left"/>
      <w:pPr>
        <w:ind w:hanging="360" w:left="4527"/>
      </w:pPr>
      <w:rPr>
        <w:rFonts w:ascii="Wingdings" w:hAnsi="Wingdings"/>
      </w:rPr>
    </w:lvl>
    <w:lvl w:ilvl="6" w:tplc="1D5BF463">
      <w:start w:val="1"/>
      <w:numFmt w:val="bullet"/>
      <w:suff w:val="tab"/>
      <w:lvlText w:val=""/>
      <w:lvlJc w:val="left"/>
      <w:pPr>
        <w:ind w:hanging="360" w:left="5247"/>
      </w:pPr>
      <w:rPr>
        <w:rFonts w:ascii="Symbol" w:hAnsi="Symbol"/>
      </w:rPr>
    </w:lvl>
    <w:lvl w:ilvl="7" w:tplc="3DEB96D6">
      <w:start w:val="1"/>
      <w:numFmt w:val="bullet"/>
      <w:suff w:val="tab"/>
      <w:lvlText w:val="o"/>
      <w:lvlJc w:val="left"/>
      <w:pPr>
        <w:ind w:hanging="360" w:left="5967"/>
      </w:pPr>
      <w:rPr>
        <w:rFonts w:ascii="Courier New" w:hAnsi="Courier New"/>
      </w:rPr>
    </w:lvl>
    <w:lvl w:ilvl="8" w:tplc="18EFC3D4">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214143F5">
      <w:start w:val="0"/>
      <w:numFmt w:val="bullet"/>
      <w:suff w:val="tab"/>
      <w:lvlText w:val="-"/>
      <w:lvlJc w:val="left"/>
      <w:pPr>
        <w:ind w:hanging="360" w:left="720"/>
        <w:tabs>
          <w:tab w:val="left" w:pos="720" w:leader="none"/>
        </w:tabs>
      </w:pPr>
      <w:rPr>
        <w:rFonts w:ascii="Times New Roman" w:hAnsi="Times New Roman"/>
      </w:rPr>
    </w:lvl>
    <w:lvl w:ilvl="1" w:tplc="10154353">
      <w:start w:val="1"/>
      <w:numFmt w:val="bullet"/>
      <w:suff w:val="tab"/>
      <w:lvlText w:val="o"/>
      <w:lvlJc w:val="left"/>
      <w:pPr>
        <w:ind w:hanging="360" w:left="1440"/>
        <w:tabs>
          <w:tab w:val="left" w:pos="1440" w:leader="none"/>
        </w:tabs>
      </w:pPr>
      <w:rPr>
        <w:rFonts w:ascii="Courier New" w:hAnsi="Courier New"/>
      </w:rPr>
    </w:lvl>
    <w:lvl w:ilvl="2" w:tplc="657F5B35">
      <w:start w:val="1"/>
      <w:numFmt w:val="bullet"/>
      <w:suff w:val="tab"/>
      <w:lvlText w:val=""/>
      <w:lvlJc w:val="left"/>
      <w:pPr>
        <w:ind w:hanging="360" w:left="2160"/>
        <w:tabs>
          <w:tab w:val="left" w:pos="2160" w:leader="none"/>
        </w:tabs>
      </w:pPr>
      <w:rPr>
        <w:rFonts w:ascii="Wingdings" w:hAnsi="Wingdings"/>
      </w:rPr>
    </w:lvl>
    <w:lvl w:ilvl="3" w:tplc="77E406B8">
      <w:start w:val="1"/>
      <w:numFmt w:val="bullet"/>
      <w:suff w:val="tab"/>
      <w:lvlText w:val=""/>
      <w:lvlJc w:val="left"/>
      <w:pPr>
        <w:ind w:hanging="360" w:left="2880"/>
        <w:tabs>
          <w:tab w:val="left" w:pos="2880" w:leader="none"/>
        </w:tabs>
      </w:pPr>
      <w:rPr>
        <w:rFonts w:ascii="Symbol" w:hAnsi="Symbol"/>
      </w:rPr>
    </w:lvl>
    <w:lvl w:ilvl="4" w:tplc="10F9E498">
      <w:start w:val="1"/>
      <w:numFmt w:val="bullet"/>
      <w:suff w:val="tab"/>
      <w:lvlText w:val="o"/>
      <w:lvlJc w:val="left"/>
      <w:pPr>
        <w:ind w:hanging="360" w:left="3600"/>
        <w:tabs>
          <w:tab w:val="left" w:pos="3600" w:leader="none"/>
        </w:tabs>
      </w:pPr>
      <w:rPr>
        <w:rFonts w:ascii="Courier New" w:hAnsi="Courier New"/>
      </w:rPr>
    </w:lvl>
    <w:lvl w:ilvl="5" w:tplc="7C8A8DBD">
      <w:start w:val="1"/>
      <w:numFmt w:val="bullet"/>
      <w:suff w:val="tab"/>
      <w:lvlText w:val=""/>
      <w:lvlJc w:val="left"/>
      <w:pPr>
        <w:ind w:hanging="360" w:left="4320"/>
        <w:tabs>
          <w:tab w:val="left" w:pos="4320" w:leader="none"/>
        </w:tabs>
      </w:pPr>
      <w:rPr>
        <w:rFonts w:ascii="Wingdings" w:hAnsi="Wingdings"/>
      </w:rPr>
    </w:lvl>
    <w:lvl w:ilvl="6" w:tplc="2539293E">
      <w:start w:val="1"/>
      <w:numFmt w:val="bullet"/>
      <w:suff w:val="tab"/>
      <w:lvlText w:val=""/>
      <w:lvlJc w:val="left"/>
      <w:pPr>
        <w:ind w:hanging="360" w:left="5040"/>
        <w:tabs>
          <w:tab w:val="left" w:pos="5040" w:leader="none"/>
        </w:tabs>
      </w:pPr>
      <w:rPr>
        <w:rFonts w:ascii="Symbol" w:hAnsi="Symbol"/>
      </w:rPr>
    </w:lvl>
    <w:lvl w:ilvl="7" w:tplc="5367CD7E">
      <w:start w:val="1"/>
      <w:numFmt w:val="bullet"/>
      <w:suff w:val="tab"/>
      <w:lvlText w:val="o"/>
      <w:lvlJc w:val="left"/>
      <w:pPr>
        <w:ind w:hanging="360" w:left="5760"/>
        <w:tabs>
          <w:tab w:val="left" w:pos="5760" w:leader="none"/>
        </w:tabs>
      </w:pPr>
      <w:rPr>
        <w:rFonts w:ascii="Courier New" w:hAnsi="Courier New"/>
      </w:rPr>
    </w:lvl>
    <w:lvl w:ilvl="8" w:tplc="0560AEF1">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3AF2EDA4">
      <w:start w:val="1"/>
      <w:numFmt w:val="bullet"/>
      <w:suff w:val="tab"/>
      <w:lvlText w:val=""/>
      <w:lvlJc w:val="left"/>
      <w:pPr>
        <w:ind w:hanging="360" w:left="720"/>
        <w:tabs>
          <w:tab w:val="left" w:pos="720" w:leader="none"/>
        </w:tabs>
      </w:pPr>
      <w:rPr>
        <w:rFonts w:ascii="Symbol" w:hAnsi="Symbol"/>
      </w:rPr>
    </w:lvl>
    <w:lvl w:ilvl="1" w:tplc="334CCB9A">
      <w:start w:val="1"/>
      <w:numFmt w:val="bullet"/>
      <w:suff w:val="tab"/>
      <w:lvlText w:val="o"/>
      <w:lvlJc w:val="left"/>
      <w:pPr>
        <w:ind w:hanging="360" w:left="1440"/>
        <w:tabs>
          <w:tab w:val="left" w:pos="1440" w:leader="none"/>
        </w:tabs>
      </w:pPr>
      <w:rPr>
        <w:rFonts w:ascii="Courier New" w:hAnsi="Courier New"/>
      </w:rPr>
    </w:lvl>
    <w:lvl w:ilvl="2" w:tplc="6A078F44">
      <w:start w:val="1"/>
      <w:numFmt w:val="bullet"/>
      <w:suff w:val="tab"/>
      <w:lvlText w:val=""/>
      <w:lvlJc w:val="left"/>
      <w:pPr>
        <w:ind w:hanging="360" w:left="2160"/>
        <w:tabs>
          <w:tab w:val="left" w:pos="2160" w:leader="none"/>
        </w:tabs>
      </w:pPr>
      <w:rPr>
        <w:rFonts w:ascii="Wingdings" w:hAnsi="Wingdings"/>
      </w:rPr>
    </w:lvl>
    <w:lvl w:ilvl="3" w:tplc="6355AEB7">
      <w:start w:val="1"/>
      <w:numFmt w:val="bullet"/>
      <w:suff w:val="tab"/>
      <w:lvlText w:val=""/>
      <w:lvlJc w:val="left"/>
      <w:pPr>
        <w:ind w:hanging="360" w:left="2880"/>
        <w:tabs>
          <w:tab w:val="left" w:pos="2880" w:leader="none"/>
        </w:tabs>
      </w:pPr>
      <w:rPr>
        <w:rFonts w:ascii="Symbol" w:hAnsi="Symbol"/>
      </w:rPr>
    </w:lvl>
    <w:lvl w:ilvl="4" w:tplc="095F84BE">
      <w:start w:val="1"/>
      <w:numFmt w:val="bullet"/>
      <w:suff w:val="tab"/>
      <w:lvlText w:val="o"/>
      <w:lvlJc w:val="left"/>
      <w:pPr>
        <w:ind w:hanging="360" w:left="3600"/>
        <w:tabs>
          <w:tab w:val="left" w:pos="3600" w:leader="none"/>
        </w:tabs>
      </w:pPr>
      <w:rPr>
        <w:rFonts w:ascii="Courier New" w:hAnsi="Courier New"/>
      </w:rPr>
    </w:lvl>
    <w:lvl w:ilvl="5" w:tplc="6C42475B">
      <w:start w:val="1"/>
      <w:numFmt w:val="bullet"/>
      <w:suff w:val="tab"/>
      <w:lvlText w:val=""/>
      <w:lvlJc w:val="left"/>
      <w:pPr>
        <w:ind w:hanging="360" w:left="4320"/>
        <w:tabs>
          <w:tab w:val="left" w:pos="4320" w:leader="none"/>
        </w:tabs>
      </w:pPr>
      <w:rPr>
        <w:rFonts w:ascii="Wingdings" w:hAnsi="Wingdings"/>
      </w:rPr>
    </w:lvl>
    <w:lvl w:ilvl="6" w:tplc="1E7BC1A7">
      <w:start w:val="1"/>
      <w:numFmt w:val="bullet"/>
      <w:suff w:val="tab"/>
      <w:lvlText w:val=""/>
      <w:lvlJc w:val="left"/>
      <w:pPr>
        <w:ind w:hanging="360" w:left="5040"/>
        <w:tabs>
          <w:tab w:val="left" w:pos="5040" w:leader="none"/>
        </w:tabs>
      </w:pPr>
      <w:rPr>
        <w:rFonts w:ascii="Symbol" w:hAnsi="Symbol"/>
      </w:rPr>
    </w:lvl>
    <w:lvl w:ilvl="7" w:tplc="4CD1E7E1">
      <w:start w:val="1"/>
      <w:numFmt w:val="bullet"/>
      <w:suff w:val="tab"/>
      <w:lvlText w:val="o"/>
      <w:lvlJc w:val="left"/>
      <w:pPr>
        <w:ind w:hanging="360" w:left="5760"/>
        <w:tabs>
          <w:tab w:val="left" w:pos="5760" w:leader="none"/>
        </w:tabs>
      </w:pPr>
      <w:rPr>
        <w:rFonts w:ascii="Courier New" w:hAnsi="Courier New"/>
      </w:rPr>
    </w:lvl>
    <w:lvl w:ilvl="8" w:tplc="5A5D869A">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60E7AC93">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2010-12-29T12:25:00Z</dcterms:created>
  <cp:lastModifiedBy>Ethan Puglia</cp:lastModifiedBy>
  <cp:lastPrinted>2012-06-22T15:48:00Z</cp:lastPrinted>
  <dcterms:modified xsi:type="dcterms:W3CDTF">2019-03-28T17:34:28Z</dcterms:modified>
  <cp:revision>10</cp:revision>
  <dc:title>PROYECTO DE ORDENANZA VIOLENCIA FAMILIAR</dc:title>
</cp:coreProperties>
</file>