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3AEB4AF" Type="http://schemas.openxmlformats.org/officeDocument/2006/relationships/officeDocument" Target="/word/document.xml" /><Relationship Id="coreR73AEB4A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42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ind w:left="142"/>
        <w:rPr>
          <w:rStyle w:val="C3"/>
        </w:rPr>
      </w:pPr>
    </w:p>
    <w:p>
      <w:pPr>
        <w:pStyle w:val="P4"/>
        <w:ind w:left="142"/>
        <w:rPr>
          <w:rStyle w:val="C3"/>
        </w:rPr>
      </w:pPr>
    </w:p>
    <w:p>
      <w:pPr>
        <w:pStyle w:val="P4"/>
        <w:ind w:left="142"/>
      </w:pPr>
      <w:r>
        <w:t>ORDENANZA Nº 8823</w:t>
      </w:r>
    </w:p>
    <w:p>
      <w:pPr>
        <w:ind w:left="142"/>
      </w:pPr>
    </w:p>
    <w:p>
      <w:pPr>
        <w:ind w:left="142"/>
      </w:pPr>
    </w:p>
    <w:p>
      <w:pPr>
        <w:ind w:hanging="426" w:left="142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N°592/10; y</w:t>
      </w:r>
    </w:p>
    <w:p>
      <w:pPr>
        <w:ind w:hanging="426" w:left="142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142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ind w:left="142"/>
      </w:pPr>
      <w:r>
        <w:t>C O N S I D E R A N D O</w:t>
      </w:r>
    </w:p>
    <w:p>
      <w:pPr>
        <w:tabs>
          <w:tab w:val="left" w:pos="2824" w:leader="none"/>
        </w:tabs>
        <w:ind w:left="142"/>
      </w:pPr>
      <w:r>
        <w:tab/>
      </w:r>
    </w:p>
    <w:p>
      <w:pPr>
        <w:tabs>
          <w:tab w:val="left" w:pos="2824" w:leader="none"/>
        </w:tabs>
        <w:ind w:left="142"/>
      </w:pPr>
    </w:p>
    <w:p>
      <w:pPr>
        <w:ind w:left="142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Beatriz Susana Molina DNI: 10.682.072, solicita la eximición de la deuda que en concepto de Tasa por Servicios a la Propiedad mantiene con la Municipalidad de Alta Gracia, el inmueble Designación Catastral 03-01-008-004 Cta. 00013034;</w:t>
      </w:r>
    </w:p>
    <w:p>
      <w:pPr>
        <w:ind w:left="142"/>
        <w:jc w:val="both"/>
        <w:rPr>
          <w:rStyle w:val="C3"/>
          <w:rFonts w:ascii="Courier New" w:hAnsi="Courier New"/>
        </w:rPr>
      </w:pPr>
    </w:p>
    <w:p>
      <w:pPr>
        <w:ind w:left="142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Fs.4/6 obra copias de actuaciones para la inscripción en el Registro de Poseedores;</w:t>
      </w:r>
    </w:p>
    <w:p>
      <w:pPr>
        <w:ind w:left="142"/>
        <w:jc w:val="both"/>
        <w:rPr>
          <w:rStyle w:val="C3"/>
          <w:rFonts w:ascii="Courier New" w:hAnsi="Courier New"/>
        </w:rPr>
      </w:pPr>
    </w:p>
    <w:p>
      <w:pPr>
        <w:ind w:left="142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Estado de Cuenta se desprende que gran parte de la deuda se encuentra en gestión judicial;</w:t>
      </w:r>
    </w:p>
    <w:p>
      <w:pPr>
        <w:ind w:left="142"/>
        <w:jc w:val="both"/>
        <w:rPr>
          <w:rStyle w:val="C3"/>
          <w:rFonts w:ascii="Courier New" w:hAnsi="Courier New"/>
        </w:rPr>
      </w:pPr>
    </w:p>
    <w:p>
      <w:pPr>
        <w:ind w:left="142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Fs.11, obra Relevamiento Socioeconómico y Ambiental en el cual se observa que la solicitante convive con su madre de 88 años, cuya jubilación es el único ingreso, no poseen agua en Red interna y son provistas de pico externo, son beneficiarias de tarifa social otorgada por el ERSEP para luz eléctrica y reciben módulo alimentario;</w:t>
      </w:r>
    </w:p>
    <w:p>
      <w:pPr>
        <w:ind w:left="142"/>
        <w:jc w:val="both"/>
        <w:rPr>
          <w:rStyle w:val="C3"/>
          <w:rFonts w:ascii="Courier New" w:hAnsi="Courier New"/>
        </w:rPr>
      </w:pPr>
    </w:p>
    <w:p>
      <w:pPr>
        <w:ind w:left="142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Expediente de referencia por la Comisión de Hacienda, la misma emite despacho favorable, aprobado por unanimidad en sesión Extraordinaria del día 28 de Diciembre de 2010.- </w:t>
      </w:r>
    </w:p>
    <w:p>
      <w:pPr>
        <w:pStyle w:val="P11"/>
        <w:ind w:left="142"/>
        <w:jc w:val="center"/>
        <w:rPr>
          <w:rStyle w:val="C3"/>
          <w:b w:val="1"/>
        </w:rPr>
      </w:pPr>
    </w:p>
    <w:p>
      <w:pPr>
        <w:pStyle w:val="P11"/>
        <w:ind w:left="142"/>
        <w:jc w:val="right"/>
      </w:pPr>
      <w:r>
        <w:t>...///</w:t>
      </w:r>
    </w:p>
    <w:p>
      <w:pPr>
        <w:pStyle w:val="P11"/>
        <w:ind w:left="142"/>
        <w:jc w:val="center"/>
        <w:rPr>
          <w:rStyle w:val="C3"/>
          <w:b w:val="1"/>
        </w:rPr>
      </w:pPr>
    </w:p>
    <w:p>
      <w:pPr>
        <w:pStyle w:val="P11"/>
        <w:ind w:left="142"/>
        <w:jc w:val="center"/>
        <w:rPr>
          <w:rStyle w:val="C3"/>
          <w:b w:val="1"/>
        </w:rPr>
      </w:pPr>
    </w:p>
    <w:p>
      <w:pPr>
        <w:pStyle w:val="P11"/>
        <w:ind w:left="142"/>
        <w:jc w:val="center"/>
        <w:rPr>
          <w:rStyle w:val="C3"/>
          <w:b w:val="1"/>
        </w:rPr>
      </w:pPr>
    </w:p>
    <w:p>
      <w:pPr>
        <w:pStyle w:val="P11"/>
        <w:ind w:left="142"/>
        <w:jc w:val="center"/>
        <w:rPr>
          <w:rStyle w:val="C3"/>
          <w:b w:val="1"/>
        </w:rPr>
      </w:pPr>
    </w:p>
    <w:p>
      <w:pPr>
        <w:pStyle w:val="P11"/>
        <w:ind w:left="142"/>
        <w:jc w:val="center"/>
        <w:rPr>
          <w:rStyle w:val="C3"/>
          <w:b w:val="1"/>
        </w:rPr>
      </w:pPr>
    </w:p>
    <w:p>
      <w:pPr>
        <w:pStyle w:val="P11"/>
        <w:ind w:left="142"/>
        <w:jc w:val="center"/>
        <w:rPr>
          <w:rStyle w:val="C3"/>
          <w:b w:val="1"/>
        </w:rPr>
      </w:pPr>
    </w:p>
    <w:p>
      <w:pPr>
        <w:pStyle w:val="P11"/>
        <w:ind w:left="142"/>
        <w:jc w:val="center"/>
        <w:rPr>
          <w:rStyle w:val="C3"/>
          <w:b w:val="1"/>
        </w:rPr>
      </w:pPr>
    </w:p>
    <w:p>
      <w:pPr>
        <w:pStyle w:val="P11"/>
        <w:ind w:left="142"/>
        <w:jc w:val="center"/>
        <w:rPr>
          <w:rStyle w:val="C3"/>
          <w:b w:val="1"/>
        </w:rPr>
      </w:pPr>
    </w:p>
    <w:p>
      <w:pPr>
        <w:pStyle w:val="P11"/>
        <w:ind w:left="142"/>
        <w:jc w:val="center"/>
        <w:rPr>
          <w:rStyle w:val="C3"/>
          <w:b w:val="1"/>
        </w:rPr>
      </w:pPr>
    </w:p>
    <w:p>
      <w:pPr>
        <w:pStyle w:val="P11"/>
        <w:ind w:left="142"/>
        <w:jc w:val="center"/>
        <w:rPr>
          <w:rStyle w:val="C3"/>
          <w:b w:val="1"/>
        </w:rPr>
      </w:pPr>
    </w:p>
    <w:p>
      <w:pPr>
        <w:pStyle w:val="P11"/>
        <w:ind w:left="142"/>
        <w:jc w:val="center"/>
        <w:rPr>
          <w:rStyle w:val="C3"/>
          <w:b w:val="1"/>
        </w:rPr>
      </w:pPr>
    </w:p>
    <w:p>
      <w:pPr>
        <w:pStyle w:val="P16"/>
        <w:ind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42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11"/>
        <w:ind w:left="142"/>
        <w:jc w:val="center"/>
        <w:rPr>
          <w:rStyle w:val="C3"/>
          <w:b w:val="1"/>
        </w:rPr>
      </w:pPr>
    </w:p>
    <w:p>
      <w:pPr>
        <w:pStyle w:val="P11"/>
        <w:ind w:left="142"/>
        <w:jc w:val="center"/>
        <w:rPr>
          <w:rStyle w:val="C3"/>
          <w:b w:val="1"/>
        </w:rPr>
      </w:pPr>
    </w:p>
    <w:p>
      <w:pPr>
        <w:pStyle w:val="P11"/>
        <w:ind w:left="142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ind w:left="142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142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ind w:left="142"/>
        <w:jc w:val="right"/>
        <w:rPr>
          <w:rStyle w:val="C3"/>
        </w:rPr>
      </w:pPr>
    </w:p>
    <w:p>
      <w:pPr>
        <w:ind w:hanging="426" w:left="142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el CIEN POR CIENTO (100%) de la deuda que en concepto de tasa por Servicios a la propiedad mantiene con la Municipalidad de Alta Gracia el inmueble Designación Catastral 03-01-008-004 Cta. 00013034.-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FIJAR </w:t>
      </w:r>
      <w:r>
        <w:rPr>
          <w:rStyle w:val="C3"/>
          <w:rFonts w:ascii="Courier New" w:hAnsi="Courier New"/>
        </w:rPr>
        <w:t>una cuota mensual de PESOS DIEZ ($10)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 partir de la promulgación de la presente y por el término de un año momento en el cual se deberá realizar un nuevo Relevamiento Socioeconómico y de mantenerse la situación actual, extender el beneficio por un año más.-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al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Sr. Intendente Municipal que interceda ante el o los procuradores actuantes a los fines de dejar sin efecto el o los juicios iniciados así como también los honorarios generados.-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</w:t>
      </w:r>
      <w:r>
        <w:rPr>
          <w:rStyle w:val="C3"/>
          <w:rFonts w:ascii="Courier New" w:hAnsi="Courier New"/>
          <w:b w:val="1"/>
        </w:rPr>
        <w:t>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VEINTIOCHO DÍAS DEL MES DE DICIEMBRE DEL AÑO DOS MIL DIEZ.- </w:t>
      </w:r>
    </w:p>
    <w:p>
      <w:pPr>
        <w:pStyle w:val="P17"/>
        <w:ind w:left="142"/>
      </w:pPr>
    </w:p>
    <w:p>
      <w:pPr>
        <w:pStyle w:val="P17"/>
        <w:ind w:left="142"/>
      </w:pPr>
    </w:p>
    <w:p>
      <w:pPr>
        <w:pStyle w:val="P17"/>
        <w:ind w:left="142"/>
      </w:pPr>
    </w:p>
    <w:p>
      <w:pPr>
        <w:pStyle w:val="P17"/>
        <w:ind w:left="142"/>
      </w:pPr>
    </w:p>
    <w:p>
      <w:pPr>
        <w:pStyle w:val="P17"/>
        <w:ind w:left="142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A6FE44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670435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F9B1AC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7E3641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76D570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AA39B6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A4D73E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D62EB7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979D68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32908C8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68CEC0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77E00B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C362FF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C60BFF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72E8C6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DCC9E7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0AF735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2DBB1C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1E33CD9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57147C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F30CDA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74B249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357407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963690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6F4359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FEBB65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D37357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67B4C30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2010-12-29T12:53:00Z</dcterms:created>
  <cp:lastModifiedBy>Ethan Puglia</cp:lastModifiedBy>
  <cp:lastPrinted>2010-12-29T12:41:00Z</cp:lastPrinted>
  <dcterms:modified xsi:type="dcterms:W3CDTF">2019-03-28T17:34:28Z</dcterms:modified>
  <cp:revision>7</cp:revision>
  <dc:title>PROYECTO DE ORDENANZA VIOLENCIA FAMILIAR</dc:title>
</cp:coreProperties>
</file>