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1F6B33" Type="http://schemas.openxmlformats.org/officeDocument/2006/relationships/officeDocument" Target="/word/document.xml" /><Relationship Id="coreR121F6B3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8838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1841/10 iniciado por la Sra. Mónica Resl de Torres;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y de cuotas actuales de Tasa por Servicios a la Propiedad correspondientes a los inmuebles Designación Catastral 04-01-059-015 y 16 – Cuentas 10284 y 12737;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deuda se genera a partir del momento en que se incendia la casa familiar;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grupo familiar percibe escasos ingresos ubicándose por debajo de la línea de la pobreza;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Resl solicita la eximición ya que sus ingresos no cubren sus necesidades más allá de haber recibido ayuda de la Municipalidad para reconstruir su vivienda;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30 de Marzo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EXÍMASE</w:t>
      </w:r>
      <w:r>
        <w:rPr>
          <w:rStyle w:val="C3"/>
          <w:b w:val="1"/>
        </w:rPr>
        <w:t xml:space="preserve"> </w:t>
      </w:r>
      <w:r>
        <w:t xml:space="preserve">en un CIEN POR CIENTO (100%) la deuda que en concepto de Tasa por Servicios a la Propiedad mantienen con la Municipalidad de Alta Gracia los inmuebles Designación Catastral 04-01-059-015 y 016 – Cuentas 10284 y 12737 respectivamente.-  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2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 xml:space="preserve">MANTÉNGASE </w:t>
      </w:r>
      <w:r>
        <w:t xml:space="preserve">el beneficio por el término de un año a partir de la promulgación de la presente, momento en el </w:t>
      </w:r>
    </w:p>
    <w:p>
      <w:pPr>
        <w:pStyle w:val="P11"/>
        <w:ind w:hanging="426" w:left="426"/>
        <w:jc w:val="right"/>
      </w:pPr>
      <w:r>
        <w:t>...///</w:t>
      </w: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  <w:r>
        <w:t>...///2.-</w:t>
      </w:r>
    </w:p>
    <w:p>
      <w:pPr>
        <w:pStyle w:val="P11"/>
        <w:ind w:hanging="426" w:left="426"/>
      </w:pPr>
    </w:p>
    <w:p>
      <w:pPr>
        <w:pStyle w:val="P11"/>
        <w:ind w:left="426"/>
      </w:pPr>
      <w:r>
        <w:t xml:space="preserve">cual se deberá realizar un nuevo Relevamiento Socioeconómico y Ambiental y de mantenerse la situación actual extender el beneficio por un año más.-   </w:t>
      </w:r>
    </w:p>
    <w:p>
      <w:pPr>
        <w:pStyle w:val="P11"/>
        <w:ind w:hanging="426" w:left="426"/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3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>PROTOCOLÍCESE,</w:t>
      </w:r>
      <w: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TREINTA DÍAS DEL MES DE MARZO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3A0EF8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47E4B1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926CCD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93EFA5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E07273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4E46C7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F3C1F9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4A5D03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D8D4E3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6F71D0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53F78E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5DEB66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B5B9DA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ABBCB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E936D7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594EBA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9EC90A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DED36F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8E5A47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BD1BE0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DAA1BE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08D09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6E731F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0C0394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B456A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76FFD4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C3A3CA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29D41C4"/>
    <w:multiLevelType w:val="multilevel"/>
    <w:lvl w:ilvl="0">
      <w:start w:val="1"/>
      <w:numFmt w:val="decimal"/>
      <w:suff w:val="tab"/>
      <w:lvlText w:val="%1-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4F22AD7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37E2AC2"/>
    <w:multiLevelType w:val="multilevel"/>
    <w:lvl w:ilvl="0">
      <w:start w:val="6"/>
      <w:numFmt w:val="decimal"/>
      <w:suff w:val="tab"/>
      <w:lvlText w:val="%1)"/>
      <w:lvlJc w:val="left"/>
      <w:pPr>
        <w:ind w:hanging="360" w:left="1069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9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8"/>
  </w:num>
  <w:num w:numId="12">
    <w:abstractNumId w:val="19"/>
  </w:num>
  <w:num w:numId="13">
    <w:abstractNumId w:val="33"/>
  </w:num>
  <w:num w:numId="14">
    <w:abstractNumId w:val="28"/>
  </w:num>
  <w:num w:numId="15">
    <w:abstractNumId w:val="27"/>
  </w:num>
  <w:num w:numId="16">
    <w:abstractNumId w:val="15"/>
  </w:num>
  <w:num w:numId="17">
    <w:abstractNumId w:val="17"/>
  </w:num>
  <w:num w:numId="18">
    <w:abstractNumId w:val="30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1"/>
  </w:num>
  <w:num w:numId="24">
    <w:abstractNumId w:val="25"/>
  </w:num>
  <w:num w:numId="25">
    <w:abstractNumId w:val="11"/>
  </w:num>
  <w:num w:numId="26">
    <w:abstractNumId w:val="32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2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2011-04-08T13:43:00Z</dcterms:created>
  <cp:lastModifiedBy>Ethan Puglia</cp:lastModifiedBy>
  <cp:lastPrinted>2011-04-08T13:39:00Z</cp:lastPrinted>
  <dcterms:modified xsi:type="dcterms:W3CDTF">2019-03-28T17:34:28Z</dcterms:modified>
  <cp:revision>8</cp:revision>
  <dc:title>PROYECTO DE ORDENANZA VIOLENCIA FAMILIAR</dc:title>
</cp:coreProperties>
</file>