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130DD8" Type="http://schemas.openxmlformats.org/officeDocument/2006/relationships/officeDocument" Target="/word/document.xml" /><Relationship Id="coreR5D130DD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8840</w:t>
      </w:r>
    </w:p>
    <w:p/>
    <w:p/>
    <w:p>
      <w:pPr>
        <w:ind w:hanging="426" w:left="426"/>
        <w:jc w:val="both"/>
        <w:rPr>
          <w:rStyle w:val="C3"/>
          <w:rFonts w:ascii="Courier New" w:hAnsi="Courier New"/>
        </w:rPr>
      </w:pPr>
      <w:r>
        <w:rPr>
          <w:rStyle w:val="C3"/>
          <w:rFonts w:ascii="Courier New" w:hAnsi="Courier New"/>
        </w:rPr>
        <w:t xml:space="preserve">Visto: El Expediente Nº 1275/07;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a través del mismo, mediante nota obrante a Fs.02, la Sra. Julia Pérez y el Sr. Altero Cristóbal, solicitan eximición de Tasa por Servicios a la Propiedad correspondiente al inmueble designación catastral 03-01-150-001-000, identificación 00003687;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la Ordenanza Nº 8499 sancionada con fecha 21 de Octubre de 2009, y teniendo en cuenta la situación socioeconómica de los solicitantes, se condonó el CIEN POR CIENTO (100%) de la deuda que registraba el inmueble de referencia hasta la promulgación de dicha Ordenanza;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Fs.38, la Dirección de Ingresos Públicos informa no se concretó la Ordenanza Nº 8499 debido a que la contribuyente no se encuentra en condiciones de abonar las cuotas correspondientes al año en curso y honorarios profesionales;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Art.2º de la mencionada Ordenanza condona las cuotas correspondientes al semestre posterior a su sanción, momento en que se deberá realizar un nuevo Relevamiento Socioeconómico y Ambiental y en caso de prevalecer su situación, prorrogar por iguales y sucesivos períodos;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Modificando la Ordenanza 8840, aprobado por unanimidad en Sesión Ordinaria del día 30 de Marzo de 2011.-</w:t>
      </w:r>
    </w:p>
    <w:p>
      <w:pPr>
        <w:pStyle w:val="P11"/>
        <w:ind w:left="567"/>
        <w:jc w:val="center"/>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ind w:hanging="426" w:left="426"/>
        <w:jc w:val="right"/>
      </w:pPr>
      <w: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1"/>
        <w:ind w:hanging="426" w:left="426"/>
        <w:rPr>
          <w:rStyle w:val="C3"/>
        </w:rPr>
      </w:pPr>
    </w:p>
    <w:p>
      <w:pPr>
        <w:pStyle w:val="P11"/>
        <w:ind w:hanging="426" w:left="426"/>
        <w:rPr>
          <w:rStyle w:val="C3"/>
        </w:rPr>
      </w:pPr>
    </w:p>
    <w:p>
      <w:pPr>
        <w:pStyle w:val="P11"/>
        <w:ind w:hanging="426" w:left="426"/>
      </w:pPr>
      <w: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 xml:space="preserve">: </w:t>
      </w:r>
      <w:r>
        <w:rPr>
          <w:rStyle w:val="C3"/>
          <w:rFonts w:ascii="Courier New" w:hAnsi="Courier New"/>
          <w:b w:val="1"/>
        </w:rPr>
        <w:t xml:space="preserve">MODIFICASE </w:t>
      </w:r>
      <w:r>
        <w:rPr>
          <w:rStyle w:val="C3"/>
          <w:rFonts w:ascii="Courier New" w:hAnsi="Courier New"/>
        </w:rPr>
        <w:t>el Art.4º de la Ordenanza Nº</w:t>
      </w:r>
      <w:r>
        <w:rPr>
          <w:rStyle w:val="C3"/>
          <w:rFonts w:ascii="Courier New" w:hAnsi="Courier New"/>
          <w:b w:val="1"/>
        </w:rPr>
        <w:t xml:space="preserve"> </w:t>
      </w:r>
      <w:r>
        <w:rPr>
          <w:rStyle w:val="C3"/>
          <w:rFonts w:ascii="Courier New" w:hAnsi="Courier New"/>
        </w:rPr>
        <w:t>8499</w:t>
      </w:r>
      <w:r>
        <w:rPr>
          <w:rStyle w:val="C3"/>
          <w:rFonts w:ascii="Courier New" w:hAnsi="Courier New"/>
          <w:b w:val="1"/>
        </w:rPr>
        <w:t xml:space="preserve">, </w:t>
      </w:r>
      <w:r>
        <w:rPr>
          <w:rStyle w:val="C3"/>
          <w:rFonts w:ascii="Courier New" w:hAnsi="Courier New"/>
        </w:rPr>
        <w:t>el que quedará redactado de la siguiente manera</w:t>
      </w:r>
      <w:r>
        <w:rPr>
          <w:rStyle w:val="C3"/>
          <w:rFonts w:ascii="Courier New" w:hAnsi="Courier New"/>
          <w:b w:val="1"/>
        </w:rPr>
        <w:t>: “</w:t>
      </w: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SOLICITAR </w:t>
      </w:r>
      <w:r>
        <w:rPr>
          <w:rStyle w:val="C3"/>
          <w:rFonts w:ascii="Courier New" w:hAnsi="Courier New"/>
        </w:rPr>
        <w:t xml:space="preserve">al Sr. Intendente, interceda ante el o los procuradores actuantes a fin de dejar sin efecto el o los juicios iniciados, como así también los honorarios generados, en particular al abogado Matricula Profesional Nº 27436 en virtud de lo establecido en la clausula 13º del convenio de partes oportunamente celebrado”.- </w:t>
      </w:r>
    </w:p>
    <w:p>
      <w:pPr>
        <w:pStyle w:val="P11"/>
        <w:ind w:hanging="426" w:left="426"/>
        <w:rPr>
          <w:rStyle w:val="C3"/>
          <w:b w:val="1"/>
          <w:u w:val="single"/>
        </w:rPr>
      </w:pPr>
    </w:p>
    <w:p>
      <w:pPr>
        <w:pStyle w:val="P11"/>
        <w:ind w:hanging="426" w:left="426"/>
      </w:pPr>
      <w:r>
        <w:rPr>
          <w:rStyle w:val="C3"/>
          <w:b w:val="1"/>
          <w:u w:val="single"/>
        </w:rPr>
        <w:t>Art.</w:t>
      </w:r>
      <w:r>
        <w:rPr>
          <w:rStyle w:val="C3"/>
          <w:b w:val="1"/>
          <w:u w:val="single"/>
        </w:rPr>
        <w:t>2</w:t>
      </w:r>
      <w:r>
        <w:rPr>
          <w:rStyle w:val="C3"/>
          <w:b w:val="1"/>
        </w:rPr>
        <w:t>:</w:t>
      </w:r>
      <w:r>
        <w:rPr>
          <w:rStyle w:val="C3"/>
          <w:b w:val="1"/>
        </w:rPr>
        <w:t xml:space="preserve"> </w:t>
      </w:r>
      <w:r>
        <w:rPr>
          <w:rStyle w:val="C3"/>
          <w:b w:val="1"/>
        </w:rPr>
        <w:t>PROTOCOLÍCESE,</w:t>
      </w:r>
      <w: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D971921">
      <w:start w:val="0"/>
      <w:numFmt w:val="bullet"/>
      <w:suff w:val="tab"/>
      <w:lvlText w:val=""/>
      <w:lvlJc w:val="left"/>
      <w:pPr>
        <w:ind w:hanging="360" w:left="927"/>
      </w:pPr>
      <w:rPr>
        <w:rFonts w:ascii="Symbol" w:hAnsi="Symbol"/>
      </w:rPr>
    </w:lvl>
    <w:lvl w:ilvl="1" w:tplc="18669494">
      <w:start w:val="1"/>
      <w:numFmt w:val="bullet"/>
      <w:suff w:val="tab"/>
      <w:lvlText w:val="o"/>
      <w:lvlJc w:val="left"/>
      <w:pPr>
        <w:ind w:hanging="360" w:left="1647"/>
      </w:pPr>
      <w:rPr>
        <w:rFonts w:ascii="Courier New" w:hAnsi="Courier New"/>
      </w:rPr>
    </w:lvl>
    <w:lvl w:ilvl="2" w:tplc="598AA4B2">
      <w:start w:val="1"/>
      <w:numFmt w:val="bullet"/>
      <w:suff w:val="tab"/>
      <w:lvlText w:val=""/>
      <w:lvlJc w:val="left"/>
      <w:pPr>
        <w:ind w:hanging="360" w:left="2367"/>
      </w:pPr>
      <w:rPr>
        <w:rFonts w:ascii="Wingdings" w:hAnsi="Wingdings"/>
      </w:rPr>
    </w:lvl>
    <w:lvl w:ilvl="3" w:tplc="669729EE">
      <w:start w:val="1"/>
      <w:numFmt w:val="bullet"/>
      <w:suff w:val="tab"/>
      <w:lvlText w:val=""/>
      <w:lvlJc w:val="left"/>
      <w:pPr>
        <w:ind w:hanging="360" w:left="3087"/>
      </w:pPr>
      <w:rPr>
        <w:rFonts w:ascii="Symbol" w:hAnsi="Symbol"/>
      </w:rPr>
    </w:lvl>
    <w:lvl w:ilvl="4" w:tplc="18AA30CC">
      <w:start w:val="1"/>
      <w:numFmt w:val="bullet"/>
      <w:suff w:val="tab"/>
      <w:lvlText w:val="o"/>
      <w:lvlJc w:val="left"/>
      <w:pPr>
        <w:ind w:hanging="360" w:left="3807"/>
      </w:pPr>
      <w:rPr>
        <w:rFonts w:ascii="Courier New" w:hAnsi="Courier New"/>
      </w:rPr>
    </w:lvl>
    <w:lvl w:ilvl="5" w:tplc="10197323">
      <w:start w:val="1"/>
      <w:numFmt w:val="bullet"/>
      <w:suff w:val="tab"/>
      <w:lvlText w:val=""/>
      <w:lvlJc w:val="left"/>
      <w:pPr>
        <w:ind w:hanging="360" w:left="4527"/>
      </w:pPr>
      <w:rPr>
        <w:rFonts w:ascii="Wingdings" w:hAnsi="Wingdings"/>
      </w:rPr>
    </w:lvl>
    <w:lvl w:ilvl="6" w:tplc="3B559E65">
      <w:start w:val="1"/>
      <w:numFmt w:val="bullet"/>
      <w:suff w:val="tab"/>
      <w:lvlText w:val=""/>
      <w:lvlJc w:val="left"/>
      <w:pPr>
        <w:ind w:hanging="360" w:left="5247"/>
      </w:pPr>
      <w:rPr>
        <w:rFonts w:ascii="Symbol" w:hAnsi="Symbol"/>
      </w:rPr>
    </w:lvl>
    <w:lvl w:ilvl="7" w:tplc="74EF85B9">
      <w:start w:val="1"/>
      <w:numFmt w:val="bullet"/>
      <w:suff w:val="tab"/>
      <w:lvlText w:val="o"/>
      <w:lvlJc w:val="left"/>
      <w:pPr>
        <w:ind w:hanging="360" w:left="5967"/>
      </w:pPr>
      <w:rPr>
        <w:rFonts w:ascii="Courier New" w:hAnsi="Courier New"/>
      </w:rPr>
    </w:lvl>
    <w:lvl w:ilvl="8" w:tplc="627F25E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4DC3C5B">
      <w:start w:val="0"/>
      <w:numFmt w:val="bullet"/>
      <w:suff w:val="tab"/>
      <w:lvlText w:val="-"/>
      <w:lvlJc w:val="left"/>
      <w:pPr>
        <w:ind w:hanging="360" w:left="720"/>
        <w:tabs>
          <w:tab w:val="left" w:pos="720" w:leader="none"/>
        </w:tabs>
      </w:pPr>
      <w:rPr>
        <w:rFonts w:ascii="Times New Roman" w:hAnsi="Times New Roman"/>
      </w:rPr>
    </w:lvl>
    <w:lvl w:ilvl="1" w:tplc="6CEA6CF9">
      <w:start w:val="1"/>
      <w:numFmt w:val="bullet"/>
      <w:suff w:val="tab"/>
      <w:lvlText w:val="o"/>
      <w:lvlJc w:val="left"/>
      <w:pPr>
        <w:ind w:hanging="360" w:left="1440"/>
        <w:tabs>
          <w:tab w:val="left" w:pos="1440" w:leader="none"/>
        </w:tabs>
      </w:pPr>
      <w:rPr>
        <w:rFonts w:ascii="Courier New" w:hAnsi="Courier New"/>
      </w:rPr>
    </w:lvl>
    <w:lvl w:ilvl="2" w:tplc="51F35F54">
      <w:start w:val="1"/>
      <w:numFmt w:val="bullet"/>
      <w:suff w:val="tab"/>
      <w:lvlText w:val=""/>
      <w:lvlJc w:val="left"/>
      <w:pPr>
        <w:ind w:hanging="360" w:left="2160"/>
        <w:tabs>
          <w:tab w:val="left" w:pos="2160" w:leader="none"/>
        </w:tabs>
      </w:pPr>
      <w:rPr>
        <w:rFonts w:ascii="Wingdings" w:hAnsi="Wingdings"/>
      </w:rPr>
    </w:lvl>
    <w:lvl w:ilvl="3" w:tplc="03AB251E">
      <w:start w:val="1"/>
      <w:numFmt w:val="bullet"/>
      <w:suff w:val="tab"/>
      <w:lvlText w:val=""/>
      <w:lvlJc w:val="left"/>
      <w:pPr>
        <w:ind w:hanging="360" w:left="2880"/>
        <w:tabs>
          <w:tab w:val="left" w:pos="2880" w:leader="none"/>
        </w:tabs>
      </w:pPr>
      <w:rPr>
        <w:rFonts w:ascii="Symbol" w:hAnsi="Symbol"/>
      </w:rPr>
    </w:lvl>
    <w:lvl w:ilvl="4" w:tplc="6AD61093">
      <w:start w:val="1"/>
      <w:numFmt w:val="bullet"/>
      <w:suff w:val="tab"/>
      <w:lvlText w:val="o"/>
      <w:lvlJc w:val="left"/>
      <w:pPr>
        <w:ind w:hanging="360" w:left="3600"/>
        <w:tabs>
          <w:tab w:val="left" w:pos="3600" w:leader="none"/>
        </w:tabs>
      </w:pPr>
      <w:rPr>
        <w:rFonts w:ascii="Courier New" w:hAnsi="Courier New"/>
      </w:rPr>
    </w:lvl>
    <w:lvl w:ilvl="5" w:tplc="7F82D32D">
      <w:start w:val="1"/>
      <w:numFmt w:val="bullet"/>
      <w:suff w:val="tab"/>
      <w:lvlText w:val=""/>
      <w:lvlJc w:val="left"/>
      <w:pPr>
        <w:ind w:hanging="360" w:left="4320"/>
        <w:tabs>
          <w:tab w:val="left" w:pos="4320" w:leader="none"/>
        </w:tabs>
      </w:pPr>
      <w:rPr>
        <w:rFonts w:ascii="Wingdings" w:hAnsi="Wingdings"/>
      </w:rPr>
    </w:lvl>
    <w:lvl w:ilvl="6" w:tplc="5CAB0018">
      <w:start w:val="1"/>
      <w:numFmt w:val="bullet"/>
      <w:suff w:val="tab"/>
      <w:lvlText w:val=""/>
      <w:lvlJc w:val="left"/>
      <w:pPr>
        <w:ind w:hanging="360" w:left="5040"/>
        <w:tabs>
          <w:tab w:val="left" w:pos="5040" w:leader="none"/>
        </w:tabs>
      </w:pPr>
      <w:rPr>
        <w:rFonts w:ascii="Symbol" w:hAnsi="Symbol"/>
      </w:rPr>
    </w:lvl>
    <w:lvl w:ilvl="7" w:tplc="04790370">
      <w:start w:val="1"/>
      <w:numFmt w:val="bullet"/>
      <w:suff w:val="tab"/>
      <w:lvlText w:val="o"/>
      <w:lvlJc w:val="left"/>
      <w:pPr>
        <w:ind w:hanging="360" w:left="5760"/>
        <w:tabs>
          <w:tab w:val="left" w:pos="5760" w:leader="none"/>
        </w:tabs>
      </w:pPr>
      <w:rPr>
        <w:rFonts w:ascii="Courier New" w:hAnsi="Courier New"/>
      </w:rPr>
    </w:lvl>
    <w:lvl w:ilvl="8" w:tplc="210A5A1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CA0112A">
      <w:start w:val="1"/>
      <w:numFmt w:val="bullet"/>
      <w:suff w:val="tab"/>
      <w:lvlText w:val=""/>
      <w:lvlJc w:val="left"/>
      <w:pPr>
        <w:ind w:hanging="360" w:left="720"/>
        <w:tabs>
          <w:tab w:val="left" w:pos="720" w:leader="none"/>
        </w:tabs>
      </w:pPr>
      <w:rPr>
        <w:rFonts w:ascii="Symbol" w:hAnsi="Symbol"/>
      </w:rPr>
    </w:lvl>
    <w:lvl w:ilvl="1" w:tplc="4F31B109">
      <w:start w:val="1"/>
      <w:numFmt w:val="bullet"/>
      <w:suff w:val="tab"/>
      <w:lvlText w:val="o"/>
      <w:lvlJc w:val="left"/>
      <w:pPr>
        <w:ind w:hanging="360" w:left="1440"/>
        <w:tabs>
          <w:tab w:val="left" w:pos="1440" w:leader="none"/>
        </w:tabs>
      </w:pPr>
      <w:rPr>
        <w:rFonts w:ascii="Courier New" w:hAnsi="Courier New"/>
      </w:rPr>
    </w:lvl>
    <w:lvl w:ilvl="2" w:tplc="223D4A90">
      <w:start w:val="1"/>
      <w:numFmt w:val="bullet"/>
      <w:suff w:val="tab"/>
      <w:lvlText w:val=""/>
      <w:lvlJc w:val="left"/>
      <w:pPr>
        <w:ind w:hanging="360" w:left="2160"/>
        <w:tabs>
          <w:tab w:val="left" w:pos="2160" w:leader="none"/>
        </w:tabs>
      </w:pPr>
      <w:rPr>
        <w:rFonts w:ascii="Wingdings" w:hAnsi="Wingdings"/>
      </w:rPr>
    </w:lvl>
    <w:lvl w:ilvl="3" w:tplc="2E806F17">
      <w:start w:val="1"/>
      <w:numFmt w:val="bullet"/>
      <w:suff w:val="tab"/>
      <w:lvlText w:val=""/>
      <w:lvlJc w:val="left"/>
      <w:pPr>
        <w:ind w:hanging="360" w:left="2880"/>
        <w:tabs>
          <w:tab w:val="left" w:pos="2880" w:leader="none"/>
        </w:tabs>
      </w:pPr>
      <w:rPr>
        <w:rFonts w:ascii="Symbol" w:hAnsi="Symbol"/>
      </w:rPr>
    </w:lvl>
    <w:lvl w:ilvl="4" w:tplc="5EB2F8F9">
      <w:start w:val="1"/>
      <w:numFmt w:val="bullet"/>
      <w:suff w:val="tab"/>
      <w:lvlText w:val="o"/>
      <w:lvlJc w:val="left"/>
      <w:pPr>
        <w:ind w:hanging="360" w:left="3600"/>
        <w:tabs>
          <w:tab w:val="left" w:pos="3600" w:leader="none"/>
        </w:tabs>
      </w:pPr>
      <w:rPr>
        <w:rFonts w:ascii="Courier New" w:hAnsi="Courier New"/>
      </w:rPr>
    </w:lvl>
    <w:lvl w:ilvl="5" w:tplc="3E26ED3F">
      <w:start w:val="1"/>
      <w:numFmt w:val="bullet"/>
      <w:suff w:val="tab"/>
      <w:lvlText w:val=""/>
      <w:lvlJc w:val="left"/>
      <w:pPr>
        <w:ind w:hanging="360" w:left="4320"/>
        <w:tabs>
          <w:tab w:val="left" w:pos="4320" w:leader="none"/>
        </w:tabs>
      </w:pPr>
      <w:rPr>
        <w:rFonts w:ascii="Wingdings" w:hAnsi="Wingdings"/>
      </w:rPr>
    </w:lvl>
    <w:lvl w:ilvl="6" w:tplc="179F7454">
      <w:start w:val="1"/>
      <w:numFmt w:val="bullet"/>
      <w:suff w:val="tab"/>
      <w:lvlText w:val=""/>
      <w:lvlJc w:val="left"/>
      <w:pPr>
        <w:ind w:hanging="360" w:left="5040"/>
        <w:tabs>
          <w:tab w:val="left" w:pos="5040" w:leader="none"/>
        </w:tabs>
      </w:pPr>
      <w:rPr>
        <w:rFonts w:ascii="Symbol" w:hAnsi="Symbol"/>
      </w:rPr>
    </w:lvl>
    <w:lvl w:ilvl="7" w:tplc="4AFDB06F">
      <w:start w:val="1"/>
      <w:numFmt w:val="bullet"/>
      <w:suff w:val="tab"/>
      <w:lvlText w:val="o"/>
      <w:lvlJc w:val="left"/>
      <w:pPr>
        <w:ind w:hanging="360" w:left="5760"/>
        <w:tabs>
          <w:tab w:val="left" w:pos="5760" w:leader="none"/>
        </w:tabs>
      </w:pPr>
      <w:rPr>
        <w:rFonts w:ascii="Courier New" w:hAnsi="Courier New"/>
      </w:rPr>
    </w:lvl>
    <w:lvl w:ilvl="8" w:tplc="55B98A04">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5AD0213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2011-04-11T11:53:00Z</dcterms:created>
  <cp:lastModifiedBy>Ethan Puglia</cp:lastModifiedBy>
  <cp:lastPrinted>2011-04-11T11:39:00Z</cp:lastPrinted>
  <dcterms:modified xsi:type="dcterms:W3CDTF">2019-03-28T17:34:29Z</dcterms:modified>
  <cp:revision>7</cp:revision>
  <dc:title>PROYECTO DE ORDENANZA VIOLENCIA FAMILIAR</dc:title>
</cp:coreProperties>
</file>