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D05BF5" Type="http://schemas.openxmlformats.org/officeDocument/2006/relationships/officeDocument" Target="/word/document.xml" /><Relationship Id="coreR4AD05BF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8842</w:t>
      </w:r>
    </w:p>
    <w:p/>
    <w:p>
      <w:pPr>
        <w:ind w:hanging="426" w:left="426"/>
        <w:jc w:val="both"/>
        <w:rPr>
          <w:rStyle w:val="C3"/>
          <w:rFonts w:ascii="Courier New" w:hAnsi="Courier New"/>
        </w:rPr>
      </w:pPr>
      <w:r>
        <w:rPr>
          <w:rStyle w:val="C3"/>
          <w:rFonts w:ascii="Courier New" w:hAnsi="Courier New"/>
        </w:rPr>
        <w:t>Visto: El Artículo Nº 55 de la Carta Orgánica Municipal, las Ordenanzas Nº 1845 y Nº 4593, la Ley Provincial Nº 9.440 y la ley nacional Nº 22431; y</w:t>
      </w: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p>
    <w:p>
      <w:pPr>
        <w:tabs>
          <w:tab w:val="left" w:pos="2824" w:leader="none"/>
        </w:tabs>
      </w:pPr>
      <w:r>
        <w:tab/>
      </w:r>
    </w:p>
    <w:p>
      <w:pPr>
        <w:ind w:left="426"/>
        <w:jc w:val="both"/>
        <w:rPr>
          <w:rStyle w:val="C3"/>
          <w:rFonts w:ascii="Courier New" w:hAnsi="Courier New"/>
        </w:rPr>
      </w:pPr>
      <w:r>
        <w:rPr>
          <w:rStyle w:val="C3"/>
          <w:rFonts w:ascii="Courier New" w:hAnsi="Courier New"/>
        </w:rPr>
        <w:t>Que según la Organización Mundial de la Salud, la Discapacidad es un término general que abarca las deficiencias, las limitaciones de la actividad y las restricciones de la participación. Las deficiencias son problemas que afectan a una estructura o función corporal; las limitaciones de la actividad son dificultades para ejecutar acciones o tareas, y las restricciones de la participación son problemas para participar en situaciones vitales. Por consiguiente, la discapacidad es un fenómeno complejo que refleja una interacción entre las características del organismo humano y las características de la sociedad en la que vive;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teniendo en cuenta la Encuesta Nacional de Personas con Discapacidad (2002-2003), en Argentina hay 2.176.123 personas discapacitadas, que representa el 7,1% de la población total del país. Además 1 de cada 5 hogares alberga al menos una persona con discapacidad (20,6%);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Art.55º de nuestra Carta Orgánica Municipal establece que “el Estado Municipal impulsa programas educativos y de integración social y laboral, de prevención de las discapacidades, como así también la inserción a la sociedad de quienes las padezcan, promoviendo su participación en todas las actividades”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un elemento para la integración es la libre movilidad o su facilitación, para concurrir a lugares, </w:t>
      </w:r>
    </w:p>
    <w:p>
      <w:pPr>
        <w:spacing w:after="120"/>
        <w:ind w:firstLine="283" w:left="1135"/>
        <w:jc w:val="right"/>
        <w:rPr>
          <w:rStyle w:val="C3"/>
          <w:rFonts w:ascii="Courier New" w:hAnsi="Courier New"/>
        </w:rPr>
      </w:pPr>
      <w:r>
        <w:rPr>
          <w:rStyle w:val="C3"/>
          <w:rFonts w:ascii="Courier New" w:hAnsi="Courier New"/>
        </w:rPr>
        <w:t>...///</w:t>
      </w:r>
    </w:p>
    <w:p>
      <w:pPr>
        <w:spacing w:after="120"/>
        <w:ind w:left="426"/>
        <w:jc w:val="both"/>
        <w:rPr>
          <w:rStyle w:val="C3"/>
          <w:rFonts w:ascii="Courier New" w:hAnsi="Courier New"/>
        </w:rPr>
      </w:pPr>
    </w:p>
    <w:p>
      <w:pPr>
        <w:spacing w:after="120"/>
        <w:ind w:left="426"/>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r>
        <w:rPr>
          <w:rStyle w:val="C3"/>
          <w:rFonts w:ascii="Courier New" w:hAnsi="Courier New"/>
        </w:rPr>
        <w:t>instituciones y espacios que por razones familiares, asistenciales, educacionales, laborales, recreacionales o de cualquier otra índole coadyuven a su plena integración social;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Ley Nacional Nº 22431 de Sistema de protección integral de los discapacitados, y sus modificatorias, plantea en su Art.22º como “barrera en los transportes aquellas existentes en el acceso y utilización de los medios de transporte terrestres (…) a cuya supresión se tenderá por observancia de los siguientes criterios: vehículos de transporte público tendrán dos asientos reservados y señalizados (…) para personas con movilidad reducida (…). Las empresas de transporte colectivo terrestre sometidas al contralor de autoridad nacional deberán transportar gratuitamente a las personas con discapacidad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mismo sentido la Ley Provincial Nº 9440 instituye “un pase libre, único y universal destinado a personas con discapacidad, para ser utilizado en el transporte automotor de pasajeros de la Provincia de Córdoba (…)”. En su artículo 2 obliga a las empresas de transporte automotor de pasajeros a transportar gratuitamente a las personas con discapacidad y a un acompañante, a quien corresponde según el Art.3º, la gratuidad del viaje de regreso del mismo a su actividad y su posterior traslado para retirar a la persona con discapacidad;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además esta Ley, en su Art.10º “invita a los municipios y comunas de la Provincia a adherir a las disposiciones de la presente Ley o a incorporarla en sus respectivas normativas”;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Ordenanza Nº 4593, marco regulatorio de transporte  público  automotor de pasajeros, en el inciso “F”  de  su Art.24º estipula como obligación  del</w:t>
      </w:r>
    </w:p>
    <w:p>
      <w:pPr>
        <w:ind w:left="426"/>
        <w:jc w:val="right"/>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r>
        <w:rPr>
          <w:rStyle w:val="C3"/>
          <w:rFonts w:ascii="Courier New" w:hAnsi="Courier New"/>
        </w:rPr>
        <w:t>transportista “transportar gratuitamente o con los descuentos que se dispongan, las personas que determinen Leyes, Ordenanzas o Decretos especiales conformes a razones de interés general”;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Ordenanza Nº 1845 establece un pase libre para personas con discapacidad, pero sólo “en el trayecto que medie entre el domicilio del discapacitado y el establecimiento educacional y/o de rehabilitación a los que deba concurrir”;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necesaria una norma que expresamente contemple esta situación a fin de dar respuesta a todas las personas con discapacidad y efectivizar su integración, en particular aquellas que no poseen obra social o no están protegidas de alguna otra forma por el estado, facilitando los medios de accesibilidad;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Constitución Nacional establece en su Art.16º la igualdad de todas las personas, siendo interpretación de la doctrina nacional que debe tratarse “con igualdad a los iguales y desigualmente a los desiguales”. Se refiere a la igualdad real o material, que se consigue con políticas que contemple las situaciones de grupos de personas con características o condiciones diferentes;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tanto servicio público, es responsabilidad del Estado establecer políticas que favorezca su accesibilidad de todas las personas y es obligación de los concesionarios soportar esa carga social y pública.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por unanimidad su aprobación en Sesión Ordinaria del día 06 de Abril de 2011.-</w:t>
      </w: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right"/>
      </w:pPr>
      <w:r>
        <w:t>...///</w:t>
      </w:r>
    </w:p>
    <w:p>
      <w:pPr>
        <w:pStyle w:val="P12"/>
        <w:ind w:left="561"/>
        <w:jc w:val="center"/>
        <w:rPr>
          <w:rStyle w:val="C3"/>
          <w:b w:val="1"/>
        </w:rPr>
      </w:pPr>
    </w:p>
    <w:p>
      <w:pPr>
        <w:pStyle w:val="P11"/>
        <w:jc w:val="right"/>
        <w:rPr>
          <w:rStyle w:val="C3"/>
        </w:rPr>
      </w:pPr>
    </w:p>
    <w:p>
      <w:pPr>
        <w:pStyle w:val="P11"/>
        <w:jc w:val="right"/>
        <w:rPr>
          <w:rStyle w:val="C3"/>
        </w:rPr>
      </w:pPr>
    </w:p>
    <w:p>
      <w:pPr>
        <w:pStyle w:val="P11"/>
        <w:jc w:val="left"/>
        <w:rPr>
          <w:rStyle w:val="C3"/>
        </w:rPr>
      </w:pPr>
    </w:p>
    <w:p>
      <w:pPr>
        <w:pStyle w:val="P11"/>
        <w:jc w:val="left"/>
        <w:rPr>
          <w:rStyle w:val="C3"/>
        </w:rPr>
      </w:pPr>
    </w:p>
    <w:p>
      <w:pPr>
        <w:pStyle w:val="P11"/>
        <w:jc w:val="left"/>
        <w:rPr>
          <w:rStyle w:val="C3"/>
        </w:rPr>
      </w:pPr>
    </w:p>
    <w:p>
      <w:pPr>
        <w:pStyle w:val="P11"/>
        <w:jc w:val="left"/>
        <w:rPr>
          <w:rStyle w:val="C3"/>
        </w:rPr>
      </w:pPr>
    </w:p>
    <w:p>
      <w:pPr>
        <w:pStyle w:val="P11"/>
        <w:jc w:val="left"/>
        <w:rPr>
          <w:rStyle w:val="C3"/>
        </w:rPr>
      </w:pPr>
    </w:p>
    <w:p>
      <w:pPr>
        <w:pStyle w:val="P11"/>
        <w:jc w:val="left"/>
      </w:pPr>
      <w:r>
        <w:t>...///4.-</w:t>
      </w:r>
    </w:p>
    <w:p>
      <w:pPr>
        <w:pStyle w:val="P11"/>
        <w:jc w:val="right"/>
      </w:pPr>
    </w:p>
    <w:p>
      <w:pPr>
        <w:pStyle w:val="P11"/>
        <w:jc w:val="right"/>
      </w:pPr>
    </w:p>
    <w:p>
      <w:pPr>
        <w:pStyle w:val="P11"/>
        <w:ind w:hanging="426" w:left="426"/>
      </w:pPr>
      <w:r>
        <w:rPr>
          <w:rStyle w:val="C3"/>
          <w:b w:val="1"/>
          <w:u w:val="single"/>
        </w:rPr>
        <w:t>Art.</w:t>
      </w:r>
      <w:r>
        <w:rPr>
          <w:rStyle w:val="C3"/>
          <w:b w:val="1"/>
          <w:u w:val="single"/>
        </w:rPr>
        <w:t>1</w:t>
      </w:r>
      <w:r>
        <w:rPr>
          <w:rStyle w:val="C3"/>
          <w:b w:val="1"/>
        </w:rPr>
        <w:t>:</w:t>
      </w:r>
      <w:r>
        <w:t xml:space="preserve"> </w:t>
      </w:r>
      <w:r>
        <w:rPr>
          <w:rStyle w:val="C3"/>
          <w:b w:val="1"/>
        </w:rPr>
        <w:t xml:space="preserve">ADHIÉRASE </w:t>
      </w:r>
      <w:r>
        <w:t>la Municipalidad de Alta Gracia a las Leyes Provincial Nº 9440 y la Ley Nacional Nº 22431 y sus modificatorias en todo lo que no sea contrario a la presente Ordenanza.-</w:t>
      </w:r>
    </w:p>
    <w:p>
      <w:pPr>
        <w:pStyle w:val="P11"/>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t xml:space="preserve"> </w:t>
      </w:r>
      <w:r>
        <w:rPr>
          <w:rStyle w:val="C3"/>
          <w:rFonts w:ascii="Courier New" w:hAnsi="Courier New"/>
          <w:b w:val="1"/>
        </w:rPr>
        <w:t>INSTITUYASE</w:t>
      </w:r>
      <w:r>
        <w:rPr>
          <w:rStyle w:val="C3"/>
          <w:rFonts w:ascii="Courier New" w:hAnsi="Courier New"/>
        </w:rPr>
        <w:t xml:space="preserve"> un PASE LIBRE, único y universal destinado a personas con discapacidad, para ser utilizado en el transporte urbano de pasajeros de la Ciudad de Alta Gracia, haciéndose extensivo el beneficio a un acompañante de necesidad documentada. </w:t>
      </w:r>
    </w:p>
    <w:p>
      <w:pPr>
        <w:ind w:left="426"/>
        <w:jc w:val="both"/>
        <w:rPr>
          <w:rStyle w:val="C3"/>
          <w:rFonts w:ascii="Courier New" w:hAnsi="Courier New"/>
        </w:rPr>
      </w:pPr>
      <w:r>
        <w:rPr>
          <w:rStyle w:val="C3"/>
          <w:rFonts w:ascii="Courier New" w:hAnsi="Courier New"/>
        </w:rPr>
        <w:t>El Pase Libre otorgado por la autoridad competente provincial, será válido para acceder a los beneficios estipulados por Ley Nacional nº22431 y Provincial nº9940 en el transporte local.</w:t>
      </w:r>
    </w:p>
    <w:p>
      <w:pPr>
        <w:ind w:left="426"/>
        <w:jc w:val="both"/>
        <w:rPr>
          <w:rStyle w:val="C3"/>
          <w:rFonts w:ascii="Courier New" w:hAnsi="Courier New"/>
        </w:rPr>
      </w:pPr>
      <w:r>
        <w:rPr>
          <w:rStyle w:val="C3"/>
          <w:rFonts w:ascii="Courier New" w:hAnsi="Courier New"/>
        </w:rPr>
        <w:t>En caso de no poder viajar a la ciudad de Córdoba el Área de la Secretaría General funcionará como receptora de la papelería necesaria y tramitará el Pase Libre ante el organismo provincial competente.-</w:t>
      </w:r>
    </w:p>
    <w:p>
      <w:pPr>
        <w:pStyle w:val="P11"/>
        <w:rPr>
          <w:rStyle w:val="C3"/>
        </w:rPr>
      </w:pPr>
    </w:p>
    <w:p>
      <w:pPr>
        <w:pStyle w:val="P11"/>
        <w:ind w:hanging="426" w:left="426"/>
      </w:pPr>
      <w:r>
        <w:rPr>
          <w:rStyle w:val="C3"/>
          <w:b w:val="1"/>
          <w:u w:val="single"/>
        </w:rPr>
        <w:t>Art.</w:t>
      </w:r>
      <w:r>
        <w:rPr>
          <w:rStyle w:val="C3"/>
          <w:b w:val="1"/>
          <w:u w:val="single"/>
        </w:rPr>
        <w:t>3</w:t>
      </w:r>
      <w:r>
        <w:rPr>
          <w:rStyle w:val="C3"/>
          <w:b w:val="1"/>
        </w:rPr>
        <w:t>:</w:t>
      </w:r>
      <w:r>
        <w:t xml:space="preserve"> </w:t>
      </w:r>
      <w:r>
        <w:rPr>
          <w:rStyle w:val="C3"/>
          <w:b w:val="1"/>
        </w:rPr>
        <w:t>A</w:t>
      </w:r>
      <w:r>
        <w:t xml:space="preserve"> los efectos de esta Ordenanza, se considera con discapacidad a toda persona que padezca una alteración funcional, física o mental, que en relación a su edad y medio social implique desventajas considerables para su integración familiar, social, educación, laboral o recreativa.-</w:t>
      </w:r>
    </w:p>
    <w:p>
      <w:pPr>
        <w:pStyle w:val="P11"/>
        <w:ind w:hanging="426" w:left="426"/>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empresas de transporte automotor de pasajeros, sometidas al contralor de la autoridad municipal, deberán transportar gratuitamente a las personas con discapacidad y a un acompañante dentro de los recorridos habituales de cada empresa; hacia cualquier destino al que deban concurrir por razones familiares, asistenciales, educacionales, laborales, recreacionales o de cualquier otra índole que coadyuven a su plena integración social.- </w:t>
      </w:r>
    </w:p>
    <w:p>
      <w:pPr>
        <w:pStyle w:val="P11"/>
        <w:ind w:hanging="426" w:left="426"/>
        <w:rPr>
          <w:rStyle w:val="C3"/>
        </w:rPr>
      </w:pPr>
    </w:p>
    <w:p>
      <w:pPr>
        <w:pStyle w:val="P11"/>
        <w:ind w:hanging="426" w:left="426"/>
      </w:pPr>
      <w:r>
        <w:rPr>
          <w:rStyle w:val="C3"/>
          <w:b w:val="1"/>
          <w:u w:val="single"/>
        </w:rPr>
        <w:t>Art.5</w:t>
      </w:r>
      <w:r>
        <w:rPr>
          <w:rStyle w:val="C3"/>
          <w:b w:val="1"/>
        </w:rPr>
        <w:t>:</w:t>
      </w:r>
      <w:r>
        <w:t xml:space="preserve"> </w:t>
      </w:r>
      <w:r>
        <w:rPr>
          <w:rStyle w:val="C3"/>
          <w:b w:val="1"/>
        </w:rPr>
        <w:t>EL</w:t>
      </w:r>
      <w:r>
        <w:t xml:space="preserve"> Pase Libre para el acompañante preverá la gratuidad del viaje de regreso del mismo a su actividad</w:t>
      </w:r>
    </w:p>
    <w:p>
      <w:pPr>
        <w:pStyle w:val="P11"/>
        <w:ind w:hanging="426" w:left="426"/>
        <w:jc w:val="right"/>
      </w:pPr>
      <w:r>
        <w:t>...///</w:t>
      </w:r>
    </w:p>
    <w:p>
      <w:pPr>
        <w:pStyle w:val="P11"/>
        <w:ind w:hanging="426" w:left="426"/>
      </w:pPr>
    </w:p>
    <w:p>
      <w:pPr>
        <w:pStyle w:val="P11"/>
        <w:ind w:hanging="426" w:left="426"/>
      </w:pPr>
    </w:p>
    <w:p>
      <w:pPr>
        <w:pStyle w:val="P11"/>
        <w:ind w:hanging="426" w:left="426"/>
      </w:pPr>
    </w:p>
    <w:p>
      <w:pPr>
        <w:pStyle w:val="P11"/>
        <w:ind w:hanging="426" w:left="426"/>
      </w:pPr>
    </w:p>
    <w:p>
      <w:pPr>
        <w:pStyle w:val="P11"/>
        <w:ind w:hanging="426" w:left="426"/>
      </w:pPr>
      <w:r>
        <w:t xml:space="preserve">  </w:t>
      </w:r>
    </w:p>
    <w:p>
      <w:pPr>
        <w:pStyle w:val="P11"/>
        <w:ind w:left="426"/>
      </w:pPr>
    </w:p>
    <w:p>
      <w:pPr>
        <w:pStyle w:val="P11"/>
        <w:ind w:left="426"/>
      </w:pPr>
    </w:p>
    <w:p>
      <w:pPr>
        <w:pStyle w:val="P11"/>
      </w:pPr>
    </w:p>
    <w:p>
      <w:pPr>
        <w:pStyle w:val="P11"/>
      </w:pPr>
    </w:p>
    <w:p>
      <w:pPr>
        <w:pStyle w:val="P11"/>
      </w:pPr>
    </w:p>
    <w:p>
      <w:pPr>
        <w:pStyle w:val="P11"/>
      </w:pPr>
      <w:r>
        <w:t>...///5.-</w:t>
      </w:r>
    </w:p>
    <w:p>
      <w:pPr>
        <w:pStyle w:val="P11"/>
        <w:ind w:left="426"/>
      </w:pPr>
      <w:r>
        <w:t>y su posterior traslado para retirar a la persona con discapacidad. En el Pase que corresponda, se podrán incluir hasta dos personas, con sus datos de identidad, como acompañante de la persona con discapacidad. En caso de viajar ambas, el Pase cubrirá un solo pasaje, debiéndose abonar el siguiente.-</w:t>
      </w:r>
    </w:p>
    <w:p>
      <w:pPr>
        <w:pStyle w:val="P11"/>
      </w:pPr>
    </w:p>
    <w:p>
      <w:pPr>
        <w:pStyle w:val="P11"/>
        <w:ind w:hanging="426" w:left="426"/>
      </w:pPr>
      <w:r>
        <w:rPr>
          <w:rStyle w:val="C3"/>
          <w:b w:val="1"/>
          <w:u w:val="single"/>
        </w:rPr>
        <w:t>Art.6</w:t>
      </w:r>
      <w:r>
        <w:rPr>
          <w:rStyle w:val="C3"/>
          <w:b w:val="1"/>
        </w:rPr>
        <w:t>:</w:t>
      </w:r>
      <w:r>
        <w:t xml:space="preserve"> </w:t>
      </w:r>
      <w:r>
        <w:rPr>
          <w:rStyle w:val="C3"/>
          <w:b w:val="1"/>
        </w:rPr>
        <w:t>LOS</w:t>
      </w:r>
      <w:r>
        <w:t xml:space="preserve"> transportistas asumirán las responsabilidades y obligaciones legales inherentes al contrato de transporte durante el traslado de las personas con discapacidad titulares de los pases y sus acompañantes.-</w:t>
      </w:r>
    </w:p>
    <w:p>
      <w:pPr>
        <w:pStyle w:val="P11"/>
      </w:pPr>
    </w:p>
    <w:p>
      <w:pPr>
        <w:pStyle w:val="P11"/>
        <w:ind w:hanging="426" w:left="426"/>
      </w:pPr>
      <w:r>
        <w:rPr>
          <w:rStyle w:val="C3"/>
          <w:b w:val="1"/>
          <w:u w:val="single"/>
        </w:rPr>
        <w:t>Art.</w:t>
      </w:r>
      <w:r>
        <w:rPr>
          <w:rStyle w:val="C3"/>
          <w:b w:val="1"/>
          <w:u w:val="single"/>
        </w:rPr>
        <w:t>7</w:t>
      </w:r>
      <w:r>
        <w:rPr>
          <w:rStyle w:val="C3"/>
          <w:b w:val="1"/>
        </w:rPr>
        <w:t>:</w:t>
      </w:r>
      <w:r>
        <w:t xml:space="preserve"> </w:t>
      </w:r>
      <w:r>
        <w:rPr>
          <w:rStyle w:val="C3"/>
          <w:b w:val="1"/>
        </w:rPr>
        <w:t>LA</w:t>
      </w:r>
      <w:r>
        <w:t xml:space="preserve"> autoridad de aplicación de la presente ordenanza es Secretaría General, Área de Transporte o el organismo que en el futuro le sustituyere.-</w:t>
      </w:r>
    </w:p>
    <w:p>
      <w:pPr>
        <w:pStyle w:val="P11"/>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w:t>
      </w:r>
      <w:r>
        <w:rPr>
          <w:rStyle w:val="C3"/>
          <w:rFonts w:ascii="Courier New" w:hAnsi="Courier New"/>
        </w:rPr>
        <w:t xml:space="preserve"> </w:t>
      </w:r>
      <w:r>
        <w:rPr>
          <w:rStyle w:val="C3"/>
          <w:rFonts w:ascii="Courier New" w:hAnsi="Courier New"/>
          <w:b w:val="1"/>
        </w:rPr>
        <w:t>TODOS</w:t>
      </w:r>
      <w:r>
        <w:rPr>
          <w:rStyle w:val="C3"/>
          <w:rFonts w:ascii="Courier New" w:hAnsi="Courier New"/>
        </w:rPr>
        <w:t xml:space="preserve"> los trámites relacionados con la obtención del Pase Libre serán absolutamente gratuitos.-</w:t>
      </w:r>
    </w:p>
    <w:p>
      <w:pPr>
        <w:pStyle w:val="P11"/>
        <w:rPr>
          <w:rStyle w:val="C3"/>
        </w:rPr>
      </w:pPr>
    </w:p>
    <w:p>
      <w:pPr>
        <w:pStyle w:val="P11"/>
        <w:ind w:hanging="426" w:left="426"/>
      </w:pPr>
      <w:r>
        <w:rPr>
          <w:rStyle w:val="C3"/>
          <w:b w:val="1"/>
          <w:u w:val="single"/>
        </w:rPr>
        <w:t>Art.9</w:t>
      </w:r>
      <w:r>
        <w:rPr>
          <w:rStyle w:val="C3"/>
          <w:b w:val="1"/>
        </w:rPr>
        <w:t>:</w:t>
      </w:r>
      <w:r>
        <w:t xml:space="preserve"> </w:t>
      </w:r>
      <w:r>
        <w:rPr>
          <w:rStyle w:val="C3"/>
          <w:b w:val="1"/>
        </w:rPr>
        <w:t>LOS</w:t>
      </w:r>
      <w:r>
        <w:t xml:space="preserve"> transportistas deberán colocar en lugar visible de sus unidades de transporte el texto de la presente Ordenanza o la propaganda que al respecto se publique por el Estado Municipal o las organizaciones sociales que tengan como objetivo la promoción de los derechos de las personas con discapacidad.-</w:t>
      </w:r>
    </w:p>
    <w:p>
      <w:pPr>
        <w:pStyle w:val="P11"/>
        <w:ind w:hanging="426" w:left="426"/>
        <w:rPr>
          <w:rStyle w:val="C3"/>
          <w:b w:val="1"/>
        </w:rPr>
      </w:pPr>
    </w:p>
    <w:p>
      <w:pPr>
        <w:pStyle w:val="P11"/>
        <w:ind w:hanging="426" w:left="426"/>
      </w:pPr>
      <w:r>
        <w:rPr>
          <w:rStyle w:val="C3"/>
          <w:b w:val="1"/>
          <w:u w:val="single"/>
        </w:rPr>
        <w:t>Art.</w:t>
      </w:r>
      <w:r>
        <w:rPr>
          <w:rStyle w:val="C3"/>
          <w:b w:val="1"/>
          <w:u w:val="single"/>
        </w:rPr>
        <w:t>10</w:t>
      </w:r>
      <w:r>
        <w:rPr>
          <w:rStyle w:val="C3"/>
          <w:b w:val="1"/>
        </w:rPr>
        <w:t>:</w:t>
      </w:r>
      <w:r>
        <w:t xml:space="preserve"> </w:t>
      </w:r>
      <w:r>
        <w:rPr>
          <w:rStyle w:val="C3"/>
          <w:b w:val="1"/>
        </w:rPr>
        <w:t>POR</w:t>
      </w:r>
      <w:r>
        <w:t xml:space="preserve"> vía reglamentaria se establecen las sanciones especiales aplicables a los transportistas en caso de inobservancia de esta norma, además de las que correspondiere por aplicación del Título VI “Régimen de Penalidades” de la Ordenanza Nº 4593.-</w:t>
      </w:r>
    </w:p>
    <w:p>
      <w:pPr>
        <w:pStyle w:val="P11"/>
        <w:ind w:hanging="426" w:left="426"/>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11</w:t>
      </w:r>
      <w:r>
        <w:rPr>
          <w:rStyle w:val="C3"/>
          <w:rFonts w:ascii="Courier New" w:hAnsi="Courier New"/>
          <w:b w:val="1"/>
        </w:rPr>
        <w:t>:</w:t>
      </w:r>
      <w:r>
        <w:rPr>
          <w:rStyle w:val="C3"/>
          <w:rFonts w:ascii="Courier New" w:hAnsi="Courier New"/>
        </w:rPr>
        <w:t xml:space="preserve"> </w:t>
      </w:r>
      <w:r>
        <w:rPr>
          <w:rStyle w:val="C3"/>
          <w:rFonts w:ascii="Courier New" w:hAnsi="Courier New"/>
          <w:b w:val="1"/>
        </w:rPr>
        <w:t>DERÓGASE</w:t>
      </w:r>
      <w:r>
        <w:rPr>
          <w:rStyle w:val="C3"/>
          <w:rFonts w:ascii="Courier New" w:hAnsi="Courier New"/>
        </w:rPr>
        <w:t xml:space="preserve"> la Ordenanza Nº 1845.-</w:t>
      </w:r>
    </w:p>
    <w:p>
      <w:pPr>
        <w:pStyle w:val="P28"/>
        <w:ind w:left="0"/>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17"/>
        <w:rPr>
          <w:rStyle w:val="C3"/>
        </w:rPr>
      </w:pPr>
    </w:p>
    <w:p>
      <w:pPr>
        <w:pStyle w:val="P17"/>
        <w:rPr>
          <w:rStyle w:val="C3"/>
        </w:rPr>
      </w:pPr>
    </w:p>
    <w:p>
      <w:pPr>
        <w:pStyle w:val="P17"/>
      </w:pPr>
      <w:r>
        <w:t xml:space="preserve">DADA EN LA SALA DE SESIONES DEL HONORABLE CONCEJO DELIBERANTE A LOS SEIS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9B39B99">
      <w:start w:val="0"/>
      <w:numFmt w:val="bullet"/>
      <w:suff w:val="tab"/>
      <w:lvlText w:val=""/>
      <w:lvlJc w:val="left"/>
      <w:pPr>
        <w:ind w:hanging="360" w:left="927"/>
      </w:pPr>
      <w:rPr>
        <w:rFonts w:ascii="Symbol" w:hAnsi="Symbol"/>
      </w:rPr>
    </w:lvl>
    <w:lvl w:ilvl="1" w:tplc="1B63B873">
      <w:start w:val="1"/>
      <w:numFmt w:val="bullet"/>
      <w:suff w:val="tab"/>
      <w:lvlText w:val="o"/>
      <w:lvlJc w:val="left"/>
      <w:pPr>
        <w:ind w:hanging="360" w:left="1647"/>
      </w:pPr>
      <w:rPr>
        <w:rFonts w:ascii="Courier New" w:hAnsi="Courier New"/>
      </w:rPr>
    </w:lvl>
    <w:lvl w:ilvl="2" w:tplc="4EF7B69A">
      <w:start w:val="1"/>
      <w:numFmt w:val="bullet"/>
      <w:suff w:val="tab"/>
      <w:lvlText w:val=""/>
      <w:lvlJc w:val="left"/>
      <w:pPr>
        <w:ind w:hanging="360" w:left="2367"/>
      </w:pPr>
      <w:rPr>
        <w:rFonts w:ascii="Wingdings" w:hAnsi="Wingdings"/>
      </w:rPr>
    </w:lvl>
    <w:lvl w:ilvl="3" w:tplc="4DAC805C">
      <w:start w:val="1"/>
      <w:numFmt w:val="bullet"/>
      <w:suff w:val="tab"/>
      <w:lvlText w:val=""/>
      <w:lvlJc w:val="left"/>
      <w:pPr>
        <w:ind w:hanging="360" w:left="3087"/>
      </w:pPr>
      <w:rPr>
        <w:rFonts w:ascii="Symbol" w:hAnsi="Symbol"/>
      </w:rPr>
    </w:lvl>
    <w:lvl w:ilvl="4" w:tplc="3A5FE91E">
      <w:start w:val="1"/>
      <w:numFmt w:val="bullet"/>
      <w:suff w:val="tab"/>
      <w:lvlText w:val="o"/>
      <w:lvlJc w:val="left"/>
      <w:pPr>
        <w:ind w:hanging="360" w:left="3807"/>
      </w:pPr>
      <w:rPr>
        <w:rFonts w:ascii="Courier New" w:hAnsi="Courier New"/>
      </w:rPr>
    </w:lvl>
    <w:lvl w:ilvl="5" w:tplc="60857D2C">
      <w:start w:val="1"/>
      <w:numFmt w:val="bullet"/>
      <w:suff w:val="tab"/>
      <w:lvlText w:val=""/>
      <w:lvlJc w:val="left"/>
      <w:pPr>
        <w:ind w:hanging="360" w:left="4527"/>
      </w:pPr>
      <w:rPr>
        <w:rFonts w:ascii="Wingdings" w:hAnsi="Wingdings"/>
      </w:rPr>
    </w:lvl>
    <w:lvl w:ilvl="6" w:tplc="62733AE0">
      <w:start w:val="1"/>
      <w:numFmt w:val="bullet"/>
      <w:suff w:val="tab"/>
      <w:lvlText w:val=""/>
      <w:lvlJc w:val="left"/>
      <w:pPr>
        <w:ind w:hanging="360" w:left="5247"/>
      </w:pPr>
      <w:rPr>
        <w:rFonts w:ascii="Symbol" w:hAnsi="Symbol"/>
      </w:rPr>
    </w:lvl>
    <w:lvl w:ilvl="7" w:tplc="148D128E">
      <w:start w:val="1"/>
      <w:numFmt w:val="bullet"/>
      <w:suff w:val="tab"/>
      <w:lvlText w:val="o"/>
      <w:lvlJc w:val="left"/>
      <w:pPr>
        <w:ind w:hanging="360" w:left="5967"/>
      </w:pPr>
      <w:rPr>
        <w:rFonts w:ascii="Courier New" w:hAnsi="Courier New"/>
      </w:rPr>
    </w:lvl>
    <w:lvl w:ilvl="8" w:tplc="2928FD8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B1A2CC5">
      <w:start w:val="0"/>
      <w:numFmt w:val="bullet"/>
      <w:suff w:val="tab"/>
      <w:lvlText w:val="-"/>
      <w:lvlJc w:val="left"/>
      <w:pPr>
        <w:ind w:hanging="360" w:left="720"/>
        <w:tabs>
          <w:tab w:val="left" w:pos="720" w:leader="none"/>
        </w:tabs>
      </w:pPr>
      <w:rPr>
        <w:rFonts w:ascii="Times New Roman" w:hAnsi="Times New Roman"/>
      </w:rPr>
    </w:lvl>
    <w:lvl w:ilvl="1" w:tplc="47D0303D">
      <w:start w:val="1"/>
      <w:numFmt w:val="bullet"/>
      <w:suff w:val="tab"/>
      <w:lvlText w:val="o"/>
      <w:lvlJc w:val="left"/>
      <w:pPr>
        <w:ind w:hanging="360" w:left="1440"/>
        <w:tabs>
          <w:tab w:val="left" w:pos="1440" w:leader="none"/>
        </w:tabs>
      </w:pPr>
      <w:rPr>
        <w:rFonts w:ascii="Courier New" w:hAnsi="Courier New"/>
      </w:rPr>
    </w:lvl>
    <w:lvl w:ilvl="2" w:tplc="4F42AB80">
      <w:start w:val="1"/>
      <w:numFmt w:val="bullet"/>
      <w:suff w:val="tab"/>
      <w:lvlText w:val=""/>
      <w:lvlJc w:val="left"/>
      <w:pPr>
        <w:ind w:hanging="360" w:left="2160"/>
        <w:tabs>
          <w:tab w:val="left" w:pos="2160" w:leader="none"/>
        </w:tabs>
      </w:pPr>
      <w:rPr>
        <w:rFonts w:ascii="Wingdings" w:hAnsi="Wingdings"/>
      </w:rPr>
    </w:lvl>
    <w:lvl w:ilvl="3" w:tplc="34AFCCCA">
      <w:start w:val="1"/>
      <w:numFmt w:val="bullet"/>
      <w:suff w:val="tab"/>
      <w:lvlText w:val=""/>
      <w:lvlJc w:val="left"/>
      <w:pPr>
        <w:ind w:hanging="360" w:left="2880"/>
        <w:tabs>
          <w:tab w:val="left" w:pos="2880" w:leader="none"/>
        </w:tabs>
      </w:pPr>
      <w:rPr>
        <w:rFonts w:ascii="Symbol" w:hAnsi="Symbol"/>
      </w:rPr>
    </w:lvl>
    <w:lvl w:ilvl="4" w:tplc="71D74F46">
      <w:start w:val="1"/>
      <w:numFmt w:val="bullet"/>
      <w:suff w:val="tab"/>
      <w:lvlText w:val="o"/>
      <w:lvlJc w:val="left"/>
      <w:pPr>
        <w:ind w:hanging="360" w:left="3600"/>
        <w:tabs>
          <w:tab w:val="left" w:pos="3600" w:leader="none"/>
        </w:tabs>
      </w:pPr>
      <w:rPr>
        <w:rFonts w:ascii="Courier New" w:hAnsi="Courier New"/>
      </w:rPr>
    </w:lvl>
    <w:lvl w:ilvl="5" w:tplc="68F41445">
      <w:start w:val="1"/>
      <w:numFmt w:val="bullet"/>
      <w:suff w:val="tab"/>
      <w:lvlText w:val=""/>
      <w:lvlJc w:val="left"/>
      <w:pPr>
        <w:ind w:hanging="360" w:left="4320"/>
        <w:tabs>
          <w:tab w:val="left" w:pos="4320" w:leader="none"/>
        </w:tabs>
      </w:pPr>
      <w:rPr>
        <w:rFonts w:ascii="Wingdings" w:hAnsi="Wingdings"/>
      </w:rPr>
    </w:lvl>
    <w:lvl w:ilvl="6" w:tplc="119BF8D4">
      <w:start w:val="1"/>
      <w:numFmt w:val="bullet"/>
      <w:suff w:val="tab"/>
      <w:lvlText w:val=""/>
      <w:lvlJc w:val="left"/>
      <w:pPr>
        <w:ind w:hanging="360" w:left="5040"/>
        <w:tabs>
          <w:tab w:val="left" w:pos="5040" w:leader="none"/>
        </w:tabs>
      </w:pPr>
      <w:rPr>
        <w:rFonts w:ascii="Symbol" w:hAnsi="Symbol"/>
      </w:rPr>
    </w:lvl>
    <w:lvl w:ilvl="7" w:tplc="01D93F99">
      <w:start w:val="1"/>
      <w:numFmt w:val="bullet"/>
      <w:suff w:val="tab"/>
      <w:lvlText w:val="o"/>
      <w:lvlJc w:val="left"/>
      <w:pPr>
        <w:ind w:hanging="360" w:left="5760"/>
        <w:tabs>
          <w:tab w:val="left" w:pos="5760" w:leader="none"/>
        </w:tabs>
      </w:pPr>
      <w:rPr>
        <w:rFonts w:ascii="Courier New" w:hAnsi="Courier New"/>
      </w:rPr>
    </w:lvl>
    <w:lvl w:ilvl="8" w:tplc="3D87D76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C0EE48F">
      <w:start w:val="1"/>
      <w:numFmt w:val="bullet"/>
      <w:suff w:val="tab"/>
      <w:lvlText w:val=""/>
      <w:lvlJc w:val="left"/>
      <w:pPr>
        <w:ind w:hanging="360" w:left="720"/>
        <w:tabs>
          <w:tab w:val="left" w:pos="720" w:leader="none"/>
        </w:tabs>
      </w:pPr>
      <w:rPr>
        <w:rFonts w:ascii="Symbol" w:hAnsi="Symbol"/>
      </w:rPr>
    </w:lvl>
    <w:lvl w:ilvl="1" w:tplc="65614947">
      <w:start w:val="1"/>
      <w:numFmt w:val="bullet"/>
      <w:suff w:val="tab"/>
      <w:lvlText w:val="o"/>
      <w:lvlJc w:val="left"/>
      <w:pPr>
        <w:ind w:hanging="360" w:left="1440"/>
        <w:tabs>
          <w:tab w:val="left" w:pos="1440" w:leader="none"/>
        </w:tabs>
      </w:pPr>
      <w:rPr>
        <w:rFonts w:ascii="Courier New" w:hAnsi="Courier New"/>
      </w:rPr>
    </w:lvl>
    <w:lvl w:ilvl="2" w:tplc="4898D123">
      <w:start w:val="1"/>
      <w:numFmt w:val="bullet"/>
      <w:suff w:val="tab"/>
      <w:lvlText w:val=""/>
      <w:lvlJc w:val="left"/>
      <w:pPr>
        <w:ind w:hanging="360" w:left="2160"/>
        <w:tabs>
          <w:tab w:val="left" w:pos="2160" w:leader="none"/>
        </w:tabs>
      </w:pPr>
      <w:rPr>
        <w:rFonts w:ascii="Wingdings" w:hAnsi="Wingdings"/>
      </w:rPr>
    </w:lvl>
    <w:lvl w:ilvl="3" w:tplc="4181F509">
      <w:start w:val="1"/>
      <w:numFmt w:val="bullet"/>
      <w:suff w:val="tab"/>
      <w:lvlText w:val=""/>
      <w:lvlJc w:val="left"/>
      <w:pPr>
        <w:ind w:hanging="360" w:left="2880"/>
        <w:tabs>
          <w:tab w:val="left" w:pos="2880" w:leader="none"/>
        </w:tabs>
      </w:pPr>
      <w:rPr>
        <w:rFonts w:ascii="Symbol" w:hAnsi="Symbol"/>
      </w:rPr>
    </w:lvl>
    <w:lvl w:ilvl="4" w:tplc="5983F0D4">
      <w:start w:val="1"/>
      <w:numFmt w:val="bullet"/>
      <w:suff w:val="tab"/>
      <w:lvlText w:val="o"/>
      <w:lvlJc w:val="left"/>
      <w:pPr>
        <w:ind w:hanging="360" w:left="3600"/>
        <w:tabs>
          <w:tab w:val="left" w:pos="3600" w:leader="none"/>
        </w:tabs>
      </w:pPr>
      <w:rPr>
        <w:rFonts w:ascii="Courier New" w:hAnsi="Courier New"/>
      </w:rPr>
    </w:lvl>
    <w:lvl w:ilvl="5" w:tplc="39C249B8">
      <w:start w:val="1"/>
      <w:numFmt w:val="bullet"/>
      <w:suff w:val="tab"/>
      <w:lvlText w:val=""/>
      <w:lvlJc w:val="left"/>
      <w:pPr>
        <w:ind w:hanging="360" w:left="4320"/>
        <w:tabs>
          <w:tab w:val="left" w:pos="4320" w:leader="none"/>
        </w:tabs>
      </w:pPr>
      <w:rPr>
        <w:rFonts w:ascii="Wingdings" w:hAnsi="Wingdings"/>
      </w:rPr>
    </w:lvl>
    <w:lvl w:ilvl="6" w:tplc="0D6C4954">
      <w:start w:val="1"/>
      <w:numFmt w:val="bullet"/>
      <w:suff w:val="tab"/>
      <w:lvlText w:val=""/>
      <w:lvlJc w:val="left"/>
      <w:pPr>
        <w:ind w:hanging="360" w:left="5040"/>
        <w:tabs>
          <w:tab w:val="left" w:pos="5040" w:leader="none"/>
        </w:tabs>
      </w:pPr>
      <w:rPr>
        <w:rFonts w:ascii="Symbol" w:hAnsi="Symbol"/>
      </w:rPr>
    </w:lvl>
    <w:lvl w:ilvl="7" w:tplc="47267723">
      <w:start w:val="1"/>
      <w:numFmt w:val="bullet"/>
      <w:suff w:val="tab"/>
      <w:lvlText w:val="o"/>
      <w:lvlJc w:val="left"/>
      <w:pPr>
        <w:ind w:hanging="360" w:left="5760"/>
        <w:tabs>
          <w:tab w:val="left" w:pos="5760" w:leader="none"/>
        </w:tabs>
      </w:pPr>
      <w:rPr>
        <w:rFonts w:ascii="Courier New" w:hAnsi="Courier New"/>
      </w:rPr>
    </w:lvl>
    <w:lvl w:ilvl="8" w:tplc="6BD2E3CF">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1905CE4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2011-04-06T21:04:00Z</dcterms:created>
  <cp:lastModifiedBy>Ethan Puglia</cp:lastModifiedBy>
  <cp:lastPrinted>2011-04-08T14:33:00Z</cp:lastPrinted>
  <dcterms:modified xsi:type="dcterms:W3CDTF">2019-03-28T17:34:29Z</dcterms:modified>
  <cp:revision>9</cp:revision>
  <dc:title>PROYECTO DE ORDENANZA VIOLENCIA FAMILIAR</dc:title>
</cp:coreProperties>
</file>