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9A7E67" Type="http://schemas.openxmlformats.org/officeDocument/2006/relationships/officeDocument" Target="/word/document.xml" /><Relationship Id="coreR6C9A7E6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8843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Las disposiciones de la Ley Nº 9.802 y Decreto     Nº 1.314/2010;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citada norma dispone un “Plan de Refinanciación de Saldo de Deudas Consolidadas al 31 de Mayo de 2.010” que los Municipios y Comunas tienen con la Provincia;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 ello, el Estado Municipal de la Ciudad de Alta Gracia, estaría alcanzado por el Plan de Refinanciación aludido, según el siguiente detalle: a) Convenio de Refinanciación de Deudas entre la Provincia y los Municipios y Comunas – Acuerdo Global 2.003, $ 1.695.016,39.-, b) Rescate de Letras de Cancelación de Obligaciones Provinciales – LECOP, $ 46.979,70.-, c) Programa de Acción Municipal – PRAM I, $ 276.911,53.-;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caso de suscripción del convenio particular, la Provincia efectuará una quita del 15% (quince por ciento) del capital adeudado, que asciende a $ 302.836,14.-;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saldo resultante se abonará en 228 (doscientas veintiocho) cuotas mensuales, iguales y consecutivas, con intereses incluidos calculados con la tasa del 4% nominal anual;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adhesión al Plan de Refinanciación permitiría consolidar los tres conceptos en una única cuota de $11.438,85.- en lugar de los $ 15.753.96.- que se abonan en la actualidad por los incisos a) y b), al que debería agregarse el inciso c);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menester facultar al Departamento Ejecutivo mediante ordenanza para la firma de los convenios pertinentes;</w:t>
      </w:r>
    </w:p>
    <w:p>
      <w:pPr>
        <w:spacing w:after="120"/>
        <w:ind w:firstLine="283" w:left="1135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</w:p>
    <w:p>
      <w:pPr>
        <w:spacing w:after="120"/>
        <w:jc w:val="both"/>
        <w:rPr>
          <w:rStyle w:val="C3"/>
          <w:rFonts w:ascii="Courier New" w:hAnsi="Courier New"/>
        </w:rPr>
      </w:pPr>
    </w:p>
    <w:p>
      <w:pPr>
        <w:spacing w:after="120"/>
        <w:jc w:val="both"/>
        <w:rPr>
          <w:rStyle w:val="C3"/>
          <w:rFonts w:ascii="Courier New" w:hAnsi="Courier New"/>
        </w:rPr>
      </w:pPr>
    </w:p>
    <w:p>
      <w:pPr>
        <w:spacing w:after="120"/>
        <w:jc w:val="both"/>
        <w:rPr>
          <w:rStyle w:val="C3"/>
          <w:rFonts w:ascii="Courier New" w:hAnsi="Courier New"/>
        </w:rPr>
      </w:pPr>
    </w:p>
    <w:p>
      <w:pPr>
        <w:spacing w:after="1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 los Concejales presentes, se resuelve por unanimidad su aprobación en Sesión Ordinaria del día 06 de Abril de 2011.-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FACÚLTASE,</w:t>
      </w:r>
      <w:r>
        <w:t xml:space="preserve"> al Departamento Ejecutivo Municipal para que realice todas las acciones y suscriba los convenios y la documentación necesaria para adherir al “Plan de Refinanciación de Saldo de Deudas Consolidadas al 31 de Mayo de 2.010”. </w:t>
      </w:r>
    </w:p>
    <w:p>
      <w:pPr>
        <w:pStyle w:val="P11"/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2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FACÚLTASE</w:t>
      </w:r>
      <w:r>
        <w:t xml:space="preserve"> al Departamento Ejecutivo para que, en pago del Saldo de Deudas Consolidadas al 31 de Mayo de 2.010 -que como Anexo I acompaña a la presente- ceda “pro solvendo” irrevocablemente a favor de la Provincia, sus derechos sobre las sumas a percibir por el Régimen de Coparticipación de Impuestos entre la Provincia y sus Municipalidades y Comunas (Ley Nº 8.663), la cantidad de 228 (DOSCIENTAS VEINTIOCHO) cuotas mensuales, iguales y consecutivas de $11.438,85.- (PESOS: ONCE MIL CUATROCIENTOS TREINTA Y OCHO CON OCHENTA Y CINCO CENTAVOS).-</w:t>
      </w:r>
    </w:p>
    <w:p>
      <w:pPr>
        <w:pStyle w:val="P11"/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3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AUTORÍZASE</w:t>
      </w:r>
      <w:r>
        <w:t xml:space="preserve"> a la Contaduría General de la Provincia a retener automáticamente del Régimen citado, los importes necesarios para la ejecución del presente convenio.-</w:t>
      </w:r>
    </w:p>
    <w:p>
      <w:pPr>
        <w:pStyle w:val="P28"/>
        <w:ind w:left="0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SEIS DÍAS DEL MES DE ABRIL DEL AÑO DOS MIL ONCE.- </w:t>
      </w: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</w:pPr>
    </w:p>
    <w:p>
      <w:pPr>
        <w:pStyle w:val="P17"/>
        <w:rPr>
          <w:rStyle w:val="C3"/>
          <w:b w:val="1"/>
        </w:rPr>
      </w:pPr>
    </w:p>
    <w:p>
      <w:pPr>
        <w:pStyle w:val="P17"/>
        <w:rPr>
          <w:rStyle w:val="C3"/>
          <w:b w:val="1"/>
        </w:rPr>
      </w:pPr>
    </w:p>
    <w:p>
      <w:pPr>
        <w:pStyle w:val="P17"/>
        <w:rPr>
          <w:rStyle w:val="C3"/>
          <w:b w:val="1"/>
        </w:rPr>
      </w:pPr>
      <w:r>
        <w:rPr>
          <w:rStyle w:val="C3"/>
          <w:b w:val="0"/>
        </w:rPr>
        <w:t>...///3.-</w:t>
      </w:r>
    </w:p>
    <w:p>
      <w:pPr>
        <w:pStyle w:val="P17"/>
        <w:rPr>
          <w:rStyle w:val="C3"/>
          <w:b w:val="1"/>
        </w:rPr>
      </w:pPr>
    </w:p>
    <w:p>
      <w:pPr>
        <w:pStyle w:val="P17"/>
        <w:rPr>
          <w:rStyle w:val="C3"/>
          <w:b w:val="1"/>
        </w:rPr>
      </w:pPr>
    </w:p>
    <w:p>
      <w:pPr>
        <w:pStyle w:val="P17"/>
        <w:rPr>
          <w:rStyle w:val="C3"/>
          <w:b w:val="1"/>
        </w:rPr>
      </w:pPr>
    </w:p>
    <w:p>
      <w:pPr>
        <w:pStyle w:val="P17"/>
        <w:jc w:val="center"/>
        <w:rPr>
          <w:rStyle w:val="C3"/>
          <w:u w:val="single"/>
        </w:rPr>
      </w:pPr>
      <w:r>
        <w:rPr>
          <w:rStyle w:val="C3"/>
          <w:u w:val="single"/>
        </w:rPr>
        <w:t xml:space="preserve">A N E X O   I</w:t>
      </w:r>
    </w:p>
    <w:p>
      <w:pPr>
        <w:pStyle w:val="P17"/>
        <w:jc w:val="center"/>
        <w:rPr>
          <w:rStyle w:val="C3"/>
          <w:u w:val="single"/>
        </w:rPr>
      </w:pPr>
    </w:p>
    <w:tbl>
      <w:tblPr>
        <w:tblStyle w:val="T2"/>
        <w:tblW w:w="9497" w:type="dxa"/>
        <w:tblInd w:w="212" w:type="dxa"/>
        <w:tblLayout w:type="fixed"/>
        <w:tblCellMar>
          <w:left w:w="70" w:type="dxa"/>
          <w:right w:w="70" w:type="dxa"/>
        </w:tblCellMar>
      </w:tblPr>
      <w:tblGrid/>
      <w:tr>
        <w:trPr>
          <w:wAfter w:w="0" w:type="dxa"/>
          <w:trHeight w:hRule="atLeast" w:val="1002"/>
        </w:trPr>
        <w:tc>
          <w:tcPr>
            <w:tcW w:w="9497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FFFFFF" w:fill="auto"/>
            <w:vAlign w:val="center"/>
          </w:tcPr>
          <w:p>
            <w:pPr>
              <w:jc w:val="both"/>
              <w:rPr>
                <w:rStyle w:val="C3"/>
                <w:rFonts w:ascii="Courier New" w:hAnsi="Courier New"/>
                <w:b w:val="1"/>
                <w:u w:val="single"/>
              </w:rPr>
            </w:pPr>
            <w:r>
              <w:rPr>
                <w:rStyle w:val="C3"/>
                <w:rFonts w:ascii="Courier New" w:hAnsi="Courier New"/>
                <w:b w:val="1"/>
                <w:u w:val="single"/>
              </w:rPr>
              <w:t>“Plan de Refinanciación de Saldo de Deudas Consolidadas al 31 de Mayo de 2.010” - Ley Nº 9.802 - Dto. Nº 1.314/10</w:t>
            </w:r>
          </w:p>
        </w:tc>
      </w:tr>
      <w:tr>
        <w:trPr>
          <w:wAfter w:w="0" w:type="dxa"/>
          <w:trHeight w:hRule="atLeast" w:val="270"/>
        </w:trPr>
        <w:tc>
          <w:tcPr>
            <w:tcW w:w="751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</w:p>
        </w:tc>
        <w:tc>
          <w:tcPr>
            <w:tcW w:w="1984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</w:p>
        </w:tc>
      </w:tr>
      <w:tr>
        <w:trPr>
          <w:wAfter w:w="0" w:type="dxa"/>
          <w:trHeight w:hRule="atLeast" w:val="799"/>
        </w:trPr>
        <w:tc>
          <w:tcPr>
            <w:tcW w:w="7513" w:type="dxa"/>
            <w:tcBorders>
              <w:top w:val="double" w:sz="6" w:space="0" w:shadow="0" w:frame="0"/>
              <w:left w:val="double" w:sz="6" w:space="0" w:shadow="0" w:frame="0"/>
              <w:bottom w:val="double" w:sz="6" w:space="0" w:shadow="0" w:frame="0"/>
              <w:right w:val="none" w:sz="0" w:space="0" w:shadow="0" w:frame="0"/>
            </w:tcBorders>
            <w:shd w:val="clear" w:color="FFFFFF" w:fill="auto"/>
            <w:vAlign w:val="center"/>
          </w:tcPr>
          <w:p>
            <w:pPr>
              <w:jc w:val="center"/>
              <w:rPr>
                <w:rStyle w:val="C3"/>
                <w:rFonts w:ascii="Courier New" w:hAnsi="Courier New"/>
                <w:b w:val="1"/>
              </w:rPr>
            </w:pPr>
            <w:r>
              <w:rPr>
                <w:rStyle w:val="C3"/>
                <w:rFonts w:ascii="Courier New" w:hAnsi="Courier New"/>
                <w:b w:val="1"/>
              </w:rPr>
              <w:t>D E T A L L E</w:t>
            </w:r>
          </w:p>
        </w:tc>
        <w:tc>
          <w:tcPr>
            <w:tcW w:w="1984" w:type="dxa"/>
            <w:tcBorders>
              <w:top w:val="double" w:sz="6" w:space="0" w:shadow="0" w:frame="0"/>
              <w:left w:val="double" w:sz="6" w:space="0" w:shadow="0" w:frame="0"/>
              <w:bottom w:val="double" w:sz="6" w:space="0" w:shadow="0" w:frame="0"/>
              <w:right w:val="double" w:sz="6" w:space="0" w:shadow="0" w:frame="0"/>
            </w:tcBorders>
            <w:shd w:val="clear" w:color="FFFFFF" w:fill="auto"/>
            <w:vAlign w:val="center"/>
          </w:tcPr>
          <w:p>
            <w:pPr>
              <w:jc w:val="center"/>
              <w:rPr>
                <w:rStyle w:val="C3"/>
                <w:rFonts w:ascii="Courier New" w:hAnsi="Courier New"/>
                <w:b w:val="1"/>
              </w:rPr>
            </w:pPr>
            <w:r>
              <w:rPr>
                <w:rStyle w:val="C3"/>
                <w:rFonts w:ascii="Courier New" w:hAnsi="Courier New"/>
                <w:b w:val="1"/>
              </w:rPr>
              <w:t>PESOS</w:t>
            </w:r>
          </w:p>
        </w:tc>
      </w:tr>
      <w:tr>
        <w:trPr>
          <w:wAfter w:w="0" w:type="dxa"/>
          <w:trHeight w:hRule="atLeast" w:val="799"/>
        </w:trPr>
        <w:tc>
          <w:tcPr>
            <w:tcW w:w="7513" w:type="dxa"/>
            <w:tcBorders>
              <w:top w:val="none" w:sz="0" w:space="0" w:shadow="0" w:frame="0"/>
              <w:left w:val="double" w:sz="6" w:space="0" w:shadow="0" w:frame="0"/>
              <w:bottom w:val="none" w:sz="0" w:space="0" w:shadow="0" w:frame="0"/>
              <w:right w:val="none" w:sz="0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a) Convenio de Refinanciación de Deudas entre la Provincia y los Municipios y Comunas - Acuerdo Global 2.003</w:t>
            </w:r>
          </w:p>
        </w:tc>
        <w:tc>
          <w:tcPr>
            <w:tcW w:w="1984" w:type="dxa"/>
            <w:tcBorders>
              <w:top w:val="none" w:sz="0" w:space="0" w:shadow="0" w:frame="0"/>
              <w:left w:val="double" w:sz="6" w:space="0" w:shadow="0" w:frame="0"/>
              <w:bottom w:val="none" w:sz="0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 xml:space="preserve">  1,695,016.39</w:t>
            </w:r>
          </w:p>
        </w:tc>
      </w:tr>
      <w:tr>
        <w:trPr>
          <w:wAfter w:w="0" w:type="dxa"/>
          <w:trHeight w:hRule="atLeast" w:val="499"/>
        </w:trPr>
        <w:tc>
          <w:tcPr>
            <w:tcW w:w="7513" w:type="dxa"/>
            <w:tcBorders>
              <w:top w:val="none" w:sz="0" w:space="0" w:shadow="0" w:frame="0"/>
              <w:left w:val="double" w:sz="6" w:space="0" w:shadow="0" w:frame="0"/>
              <w:bottom w:val="none" w:sz="0" w:space="0" w:shadow="0" w:frame="0"/>
              <w:right w:val="none" w:sz="0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b) Rescate de Letras de Cancelación de Obligaciones Provinciales – LECOP</w:t>
            </w:r>
          </w:p>
        </w:tc>
        <w:tc>
          <w:tcPr>
            <w:tcW w:w="1984" w:type="dxa"/>
            <w:tcBorders>
              <w:top w:val="none" w:sz="0" w:space="0" w:shadow="0" w:frame="0"/>
              <w:left w:val="double" w:sz="6" w:space="0" w:shadow="0" w:frame="0"/>
              <w:bottom w:val="none" w:sz="0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 xml:space="preserve">  46,979.70</w:t>
            </w:r>
          </w:p>
        </w:tc>
      </w:tr>
      <w:tr>
        <w:trPr>
          <w:wAfter w:w="0" w:type="dxa"/>
          <w:trHeight w:hRule="atLeast" w:val="499"/>
        </w:trPr>
        <w:tc>
          <w:tcPr>
            <w:tcW w:w="7513" w:type="dxa"/>
            <w:tcBorders>
              <w:top w:val="none" w:sz="0" w:space="0" w:shadow="0" w:frame="0"/>
              <w:left w:val="double" w:sz="6" w:space="0" w:shadow="0" w:frame="0"/>
              <w:bottom w:val="none" w:sz="0" w:space="0" w:shadow="0" w:frame="0"/>
              <w:right w:val="none" w:sz="0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c) Programa de Acción Municipal - PRAM I</w:t>
            </w:r>
          </w:p>
        </w:tc>
        <w:tc>
          <w:tcPr>
            <w:tcW w:w="1984" w:type="dxa"/>
            <w:tcBorders>
              <w:top w:val="none" w:sz="0" w:space="0" w:shadow="0" w:frame="0"/>
              <w:left w:val="double" w:sz="6" w:space="0" w:shadow="0" w:frame="0"/>
              <w:bottom w:val="none" w:sz="0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 xml:space="preserve">  276,911.53</w:t>
            </w:r>
          </w:p>
        </w:tc>
      </w:tr>
      <w:tr>
        <w:trPr>
          <w:wAfter w:w="0" w:type="dxa"/>
          <w:trHeight w:hRule="atLeast" w:val="499"/>
        </w:trPr>
        <w:tc>
          <w:tcPr>
            <w:tcW w:w="7513" w:type="dxa"/>
            <w:tcBorders>
              <w:top w:val="single" w:sz="4" w:space="0" w:shadow="0" w:frame="0"/>
              <w:left w:val="double" w:sz="6" w:space="0" w:shadow="0" w:frame="0"/>
              <w:bottom w:val="single" w:sz="4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IMPORTE TOTAL</w:t>
            </w:r>
          </w:p>
        </w:tc>
        <w:tc>
          <w:tcPr>
            <w:tcW w:w="1984" w:type="dxa"/>
            <w:tcBorders>
              <w:top w:val="single" w:sz="4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 xml:space="preserve">  2,018,907.62</w:t>
            </w:r>
          </w:p>
        </w:tc>
      </w:tr>
      <w:tr>
        <w:trPr>
          <w:wAfter w:w="0" w:type="dxa"/>
          <w:trHeight w:hRule="atLeast" w:val="499"/>
        </w:trPr>
        <w:tc>
          <w:tcPr>
            <w:tcW w:w="7513" w:type="dxa"/>
            <w:tcBorders>
              <w:top w:val="none" w:sz="0" w:space="0" w:shadow="0" w:frame="0"/>
              <w:left w:val="double" w:sz="6" w:space="0" w:shadow="0" w:frame="0"/>
              <w:bottom w:val="single" w:sz="4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QUITA (15%)</w:t>
            </w:r>
          </w:p>
        </w:tc>
        <w:tc>
          <w:tcPr>
            <w:tcW w:w="1984" w:type="dxa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 xml:space="preserve">  302,836.14</w:t>
            </w:r>
          </w:p>
        </w:tc>
      </w:tr>
      <w:tr>
        <w:trPr>
          <w:wAfter w:w="0" w:type="dxa"/>
          <w:trHeight w:hRule="atLeast" w:val="499"/>
        </w:trPr>
        <w:tc>
          <w:tcPr>
            <w:tcW w:w="7513" w:type="dxa"/>
            <w:tcBorders>
              <w:top w:val="none" w:sz="0" w:space="0" w:shadow="0" w:frame="0"/>
              <w:left w:val="double" w:sz="6" w:space="0" w:shadow="0" w:frame="0"/>
              <w:bottom w:val="single" w:sz="4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SALDO</w:t>
            </w:r>
          </w:p>
        </w:tc>
        <w:tc>
          <w:tcPr>
            <w:tcW w:w="1984" w:type="dxa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 xml:space="preserve">  1,716,071.48</w:t>
            </w:r>
          </w:p>
        </w:tc>
      </w:tr>
      <w:tr>
        <w:trPr>
          <w:wAfter w:w="0" w:type="dxa"/>
          <w:trHeight w:hRule="atLeast" w:val="499"/>
        </w:trPr>
        <w:tc>
          <w:tcPr>
            <w:tcW w:w="7513" w:type="dxa"/>
            <w:tcBorders>
              <w:top w:val="none" w:sz="0" w:space="0" w:shadow="0" w:frame="0"/>
              <w:left w:val="double" w:sz="6" w:space="0" w:shadow="0" w:frame="0"/>
              <w:bottom w:val="single" w:sz="4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INTERÉS (período 01-06-2010 al 31-12-2011)</w:t>
            </w:r>
          </w:p>
        </w:tc>
        <w:tc>
          <w:tcPr>
            <w:tcW w:w="1984" w:type="dxa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 xml:space="preserve">  108,684.52</w:t>
            </w:r>
          </w:p>
        </w:tc>
      </w:tr>
      <w:tr>
        <w:trPr>
          <w:wAfter w:w="0" w:type="dxa"/>
          <w:trHeight w:hRule="atLeast" w:val="499"/>
        </w:trPr>
        <w:tc>
          <w:tcPr>
            <w:tcW w:w="7513" w:type="dxa"/>
            <w:tcBorders>
              <w:top w:val="none" w:sz="0" w:space="0" w:shadow="0" w:frame="0"/>
              <w:left w:val="double" w:sz="6" w:space="0" w:shadow="0" w:frame="0"/>
              <w:bottom w:val="single" w:sz="4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MONTO</w:t>
            </w:r>
          </w:p>
        </w:tc>
        <w:tc>
          <w:tcPr>
            <w:tcW w:w="1984" w:type="dxa"/>
            <w:tcBorders>
              <w:top w:val="none" w:sz="0" w:space="0" w:shadow="0" w:frame="0"/>
              <w:left w:val="none" w:sz="0" w:space="0" w:shadow="0" w:frame="0"/>
              <w:bottom w:val="single" w:sz="4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 xml:space="preserve">  1,824,756.00</w:t>
            </w:r>
          </w:p>
        </w:tc>
      </w:tr>
      <w:tr>
        <w:trPr>
          <w:wAfter w:w="0" w:type="dxa"/>
          <w:trHeight w:hRule="atLeast" w:val="499"/>
        </w:trPr>
        <w:tc>
          <w:tcPr>
            <w:tcW w:w="7513" w:type="dxa"/>
            <w:tcBorders>
              <w:top w:val="none" w:sz="0" w:space="0" w:shadow="0" w:frame="0"/>
              <w:left w:val="double" w:sz="6" w:space="0" w:shadow="0" w:frame="0"/>
              <w:bottom w:val="double" w:sz="6" w:space="0" w:shadow="0" w:frame="0"/>
              <w:right w:val="none" w:sz="0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CUOTA MENSUAL</w:t>
            </w:r>
          </w:p>
        </w:tc>
        <w:tc>
          <w:tcPr>
            <w:tcW w:w="1984" w:type="dxa"/>
            <w:tcBorders>
              <w:top w:val="none" w:sz="0" w:space="0" w:shadow="0" w:frame="0"/>
              <w:left w:val="double" w:sz="6" w:space="0" w:shadow="0" w:frame="0"/>
              <w:bottom w:val="double" w:sz="6" w:space="0" w:shadow="0" w:frame="0"/>
              <w:right w:val="double" w:sz="6" w:space="0" w:shadow="0" w:frame="0"/>
            </w:tcBorders>
            <w:shd w:val="clear" w:color="FFFFFF" w:fill="auto"/>
            <w:vAlign w:val="bottom"/>
          </w:tcPr>
          <w:p>
            <w:pPr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 xml:space="preserve">  11,438.85</w:t>
            </w:r>
          </w:p>
        </w:tc>
      </w:tr>
    </w:tbl>
    <w:p>
      <w:pPr>
        <w:pStyle w:val="P17"/>
        <w:jc w:val="center"/>
        <w:rPr>
          <w:rStyle w:val="C3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BE5340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80D9B3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74C4A2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A0FD1D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70DA43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70F9AB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3F7E94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853345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3E5550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1849B2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4B851A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29D504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A68C66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15A8C6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408076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988D0A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60CFB5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E4EBC9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9E3471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D25EE1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0826A4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070E87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1CC660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CFC20A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4047AA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7F98D1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67DD9E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29D41C4"/>
    <w:multiLevelType w:val="multilevel"/>
    <w:lvl w:ilvl="0">
      <w:start w:val="1"/>
      <w:numFmt w:val="decimal"/>
      <w:suff w:val="tab"/>
      <w:lvlText w:val="%1-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7831A68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37E2AC2"/>
    <w:multiLevelType w:val="multilevel"/>
    <w:lvl w:ilvl="0">
      <w:start w:val="6"/>
      <w:numFmt w:val="decimal"/>
      <w:suff w:val="tab"/>
      <w:lvlText w:val="%1)"/>
      <w:lvlJc w:val="left"/>
      <w:pPr>
        <w:ind w:hanging="360" w:left="1069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9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8"/>
  </w:num>
  <w:num w:numId="12">
    <w:abstractNumId w:val="19"/>
  </w:num>
  <w:num w:numId="13">
    <w:abstractNumId w:val="33"/>
  </w:num>
  <w:num w:numId="14">
    <w:abstractNumId w:val="28"/>
  </w:num>
  <w:num w:numId="15">
    <w:abstractNumId w:val="27"/>
  </w:num>
  <w:num w:numId="16">
    <w:abstractNumId w:val="15"/>
  </w:num>
  <w:num w:numId="17">
    <w:abstractNumId w:val="17"/>
  </w:num>
  <w:num w:numId="18">
    <w:abstractNumId w:val="30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1"/>
  </w:num>
  <w:num w:numId="24">
    <w:abstractNumId w:val="25"/>
  </w:num>
  <w:num w:numId="25">
    <w:abstractNumId w:val="11"/>
  </w:num>
  <w:num w:numId="26">
    <w:abstractNumId w:val="32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2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2011-04-06T18:59:00Z</dcterms:created>
  <cp:lastModifiedBy>Ethan Puglia</cp:lastModifiedBy>
  <cp:lastPrinted>2011-04-06T19:48:00Z</cp:lastPrinted>
  <dcterms:modified xsi:type="dcterms:W3CDTF">2019-03-28T17:34:29Z</dcterms:modified>
  <cp:revision>14</cp:revision>
  <dc:title>PROYECTO DE ORDENANZA VIOLENCIA FAMILIAR</dc:title>
</cp:coreProperties>
</file>