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2EE8D11" Type="http://schemas.openxmlformats.org/officeDocument/2006/relationships/officeDocument" Target="/word/document.xml" /><Relationship Id="coreR72EE8D1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8844</w:t>
      </w:r>
    </w:p>
    <w:p/>
    <w:p/>
    <w:p>
      <w:pPr>
        <w:ind w:hanging="426" w:left="426"/>
        <w:jc w:val="both"/>
        <w:rPr>
          <w:rStyle w:val="C3"/>
          <w:rFonts w:ascii="Courier New" w:hAnsi="Courier New"/>
        </w:rPr>
      </w:pPr>
      <w:r>
        <w:rPr>
          <w:rStyle w:val="C3"/>
          <w:rFonts w:ascii="Courier New" w:hAnsi="Courier New"/>
        </w:rPr>
        <w:t>Visto: la Ordenanza Nº 8731 mediante la cual se crea Empresa Estatal de economía mixta Alta Gracia Gas S.A.; y</w:t>
      </w:r>
    </w:p>
    <w:p>
      <w:pPr>
        <w:ind w:hanging="426" w:left="426"/>
        <w:jc w:val="both"/>
        <w:rPr>
          <w:rStyle w:val="C3"/>
          <w:rFonts w:ascii="Courier New" w:hAnsi="Courier New"/>
        </w:rPr>
      </w:pP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p>
    <w:p>
      <w:pPr>
        <w:tabs>
          <w:tab w:val="left" w:pos="2824" w:leader="none"/>
        </w:tabs>
      </w:pPr>
      <w:r>
        <w:tab/>
      </w:r>
    </w:p>
    <w:p>
      <w:pPr>
        <w:spacing w:lineRule="auto" w:line="276" w:after="200"/>
        <w:ind w:left="426"/>
        <w:jc w:val="both"/>
        <w:rPr>
          <w:rStyle w:val="C3"/>
          <w:rFonts w:ascii="Courier New" w:hAnsi="Courier New"/>
        </w:rPr>
      </w:pPr>
      <w:r>
        <w:rPr>
          <w:rStyle w:val="C3"/>
          <w:rFonts w:ascii="Courier New" w:hAnsi="Courier New"/>
        </w:rPr>
        <w:t>Que luego de realizadas numerosas reuniones, entre el Departamento Ejecutivo, el Concejo Deliberante representado por todos los Bloques y representantes del E.M.Se.P. (Ente Municipal de Servicios Públicos), se lograron acuerdos para consolidar la presencia del Estado Municipal en la conformación de la Sociedad Anónima Alta Gracia Gas;</w:t>
      </w:r>
    </w:p>
    <w:p>
      <w:pPr>
        <w:spacing w:lineRule="auto" w:line="276" w:after="200"/>
        <w:ind w:left="426"/>
        <w:jc w:val="both"/>
        <w:rPr>
          <w:rStyle w:val="C3"/>
          <w:rFonts w:ascii="Courier New" w:hAnsi="Courier New"/>
        </w:rPr>
      </w:pPr>
      <w:r>
        <w:rPr>
          <w:rStyle w:val="C3"/>
          <w:rFonts w:ascii="Courier New" w:hAnsi="Courier New"/>
        </w:rPr>
        <w:t>Que se hace entonces necesario adecuar los porcentajes de participación accionaria del Estado Municipal y de la cooperativa con la que se constituya la Sociedad Anónima;</w:t>
      </w:r>
    </w:p>
    <w:p>
      <w:pPr>
        <w:ind w:left="426"/>
        <w:jc w:val="both"/>
        <w:rPr>
          <w:rStyle w:val="C3"/>
          <w:rFonts w:ascii="Courier New" w:hAnsi="Courier New"/>
        </w:rPr>
      </w:pPr>
      <w:r>
        <w:rPr>
          <w:rStyle w:val="C3"/>
          <w:rFonts w:ascii="Courier New" w:hAnsi="Courier New"/>
        </w:rPr>
        <w:t>Que analizado el Proyecto de Ordenanza por la Totalidad de los Concejales presentes, se resuelve por unanimidad su aprobación en Sesión Ordinaria del día 06 de Abril de 2011.-</w:t>
      </w:r>
    </w:p>
    <w:p>
      <w:pPr>
        <w:jc w:val="both"/>
        <w:rPr>
          <w:rStyle w:val="C3"/>
          <w:rFonts w:ascii="Courier New" w:hAnsi="Courier New"/>
        </w:rPr>
      </w:pPr>
    </w:p>
    <w:p>
      <w:pPr>
        <w:spacing w:after="120"/>
        <w:ind w:firstLine="283" w:left="1135"/>
        <w:jc w:val="right"/>
        <w:rPr>
          <w:rStyle w:val="C3"/>
          <w:rFonts w:ascii="Courier New" w:hAnsi="Courier New"/>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pStyle w:val="P12"/>
        <w:ind w:left="561"/>
        <w:jc w:val="center"/>
        <w:rPr>
          <w:rStyle w:val="C3"/>
          <w:b w:val="1"/>
        </w:rPr>
      </w:pPr>
    </w:p>
    <w:p>
      <w:pPr>
        <w:pStyle w:val="P11"/>
        <w:ind w:hanging="426" w:left="426"/>
      </w:pPr>
      <w:r>
        <w:rPr>
          <w:rStyle w:val="C3"/>
          <w:b w:val="1"/>
          <w:u w:val="single"/>
        </w:rPr>
        <w:t>Art.</w:t>
      </w:r>
      <w:r>
        <w:rPr>
          <w:rStyle w:val="C3"/>
          <w:b w:val="1"/>
          <w:u w:val="single"/>
        </w:rPr>
        <w:t>1</w:t>
      </w:r>
      <w:r>
        <w:rPr>
          <w:rStyle w:val="C3"/>
          <w:b w:val="1"/>
        </w:rPr>
        <w:t>:</w:t>
      </w:r>
      <w:r>
        <w:t xml:space="preserve"> </w:t>
      </w:r>
      <w:r>
        <w:rPr>
          <w:rStyle w:val="C3"/>
          <w:b w:val="1"/>
        </w:rPr>
        <w:t>MO</w:t>
      </w:r>
      <w:r>
        <w:rPr>
          <w:rStyle w:val="C3"/>
          <w:b w:val="1"/>
        </w:rPr>
        <w:t>DIFICASE</w:t>
      </w:r>
      <w:r>
        <w:t xml:space="preserve"> el Artículo 1º de la Ordenanza Nº 8731 el que quedará redactado de la siguiente manera: </w:t>
      </w:r>
    </w:p>
    <w:p>
      <w:pPr>
        <w:spacing w:lineRule="auto" w:line="276" w:after="200"/>
        <w:ind w:left="426"/>
        <w:jc w:val="both"/>
        <w:rPr>
          <w:rStyle w:val="C3"/>
          <w:rFonts w:ascii="Courier New" w:hAnsi="Courier New"/>
        </w:rPr>
      </w:pPr>
      <w:r>
        <w:rPr>
          <w:rStyle w:val="C3"/>
          <w:rFonts w:ascii="Courier New" w:hAnsi="Courier New"/>
          <w:b w:val="1"/>
        </w:rPr>
        <w:t>Artículo 1°.-</w:t>
      </w:r>
      <w:r>
        <w:rPr>
          <w:rStyle w:val="C3"/>
          <w:rFonts w:ascii="Courier New" w:hAnsi="Courier New"/>
        </w:rPr>
        <w:t xml:space="preserve"> </w:t>
      </w:r>
      <w:r>
        <w:rPr>
          <w:rStyle w:val="C3"/>
          <w:rFonts w:ascii="Courier New" w:hAnsi="Courier New"/>
          <w:b w:val="1"/>
        </w:rPr>
        <w:t xml:space="preserve">CRÉASE LA EMPRESA MUNICIPAL DE ECONOMÍA MIXTA ALTA GRACIA GAS, bajo la figura de una SOCIEDAD ANÓNIMA </w:t>
      </w:r>
      <w:r>
        <w:rPr>
          <w:rStyle w:val="C3"/>
          <w:rFonts w:ascii="Courier New" w:hAnsi="Courier New"/>
        </w:rPr>
        <w:t xml:space="preserve">(Alta Gracia Gas SA), con un CINCUENTA Y UNO POR CIENTO  (51%)  de  participación  estatal  y un CUARENTA </w:t>
      </w:r>
    </w:p>
    <w:p>
      <w:pPr>
        <w:spacing w:lineRule="auto" w:line="276" w:after="200"/>
        <w:ind w:left="426"/>
        <w:jc w:val="right"/>
        <w:rPr>
          <w:rStyle w:val="C3"/>
          <w:rFonts w:ascii="Courier New" w:hAnsi="Courier New"/>
        </w:rPr>
      </w:pPr>
      <w:r>
        <w:rPr>
          <w:rStyle w:val="C3"/>
          <w:rFonts w:ascii="Courier New" w:hAnsi="Courier New"/>
        </w:rPr>
        <w:t>...///</w:t>
      </w:r>
    </w:p>
    <w:p>
      <w:pPr>
        <w:spacing w:lineRule="auto" w:line="276" w:after="200"/>
        <w:ind w:left="426"/>
        <w:jc w:val="both"/>
        <w:rPr>
          <w:rStyle w:val="C3"/>
          <w:rFonts w:ascii="Courier New" w:hAnsi="Courier New"/>
        </w:rPr>
      </w:pPr>
    </w:p>
    <w:p>
      <w:pPr>
        <w:spacing w:lineRule="auto" w:line="276" w:after="200"/>
        <w:ind w:left="426"/>
        <w:jc w:val="both"/>
        <w:rPr>
          <w:rStyle w:val="C3"/>
          <w:rFonts w:ascii="Courier New" w:hAnsi="Courier New"/>
        </w:rPr>
      </w:pPr>
    </w:p>
    <w:p>
      <w:pPr>
        <w:spacing w:lineRule="auto" w:line="276" w:after="200"/>
        <w:jc w:val="both"/>
        <w:rPr>
          <w:rStyle w:val="C3"/>
          <w:rFonts w:ascii="Courier New" w:hAnsi="Courier New"/>
        </w:rPr>
      </w:pPr>
    </w:p>
    <w:p>
      <w:pPr>
        <w:spacing w:lineRule="auto" w:line="276" w:after="200"/>
        <w:jc w:val="both"/>
        <w:rPr>
          <w:rStyle w:val="C3"/>
          <w:rFonts w:ascii="Courier New" w:hAnsi="Courier New"/>
        </w:rPr>
      </w:pPr>
    </w:p>
    <w:p>
      <w:pPr>
        <w:spacing w:lineRule="auto" w:line="276" w:after="200"/>
        <w:jc w:val="both"/>
        <w:rPr>
          <w:rStyle w:val="C3"/>
          <w:rFonts w:ascii="Courier New" w:hAnsi="Courier New"/>
        </w:rPr>
      </w:pPr>
      <w:r>
        <w:rPr>
          <w:rStyle w:val="C3"/>
          <w:rFonts w:ascii="Courier New" w:hAnsi="Courier New"/>
        </w:rPr>
        <w:t>...///2.-</w:t>
      </w:r>
    </w:p>
    <w:p>
      <w:pPr>
        <w:spacing w:lineRule="auto" w:line="276" w:after="200"/>
        <w:ind w:left="426"/>
        <w:jc w:val="both"/>
        <w:rPr>
          <w:rStyle w:val="C3"/>
          <w:rFonts w:ascii="Courier New" w:hAnsi="Courier New"/>
        </w:rPr>
      </w:pPr>
      <w:r>
        <w:rPr>
          <w:rStyle w:val="C3"/>
          <w:rFonts w:ascii="Courier New" w:hAnsi="Courier New"/>
        </w:rPr>
        <w:t>Y NUEVE POR CIENTO (49%) de participación de una cooperativa integral de provisión de servicios públicos y asistenciales, en cuyo objeto incluya la prestación del servicio de gas; para la prestación de los servicios de explotación, operación, mantenimiento, comercialización y distribución del sistema comprendido por las estaciones de regulación y medición, ramales de aproximación y redes de distribución de gas natural de la Ciudad.</w:t>
      </w:r>
    </w:p>
    <w:p>
      <w:pPr>
        <w:pStyle w:val="P11"/>
        <w:ind w:hanging="426" w:left="426"/>
      </w:pPr>
      <w:r>
        <w:rPr>
          <w:rStyle w:val="C3"/>
          <w:b w:val="1"/>
          <w:u w:val="single"/>
        </w:rPr>
        <w:t>Art.</w:t>
      </w:r>
      <w:r>
        <w:rPr>
          <w:rStyle w:val="C3"/>
          <w:b w:val="1"/>
          <w:u w:val="single"/>
        </w:rPr>
        <w:t>2</w:t>
      </w:r>
      <w:r>
        <w:rPr>
          <w:rStyle w:val="C3"/>
          <w:b w:val="1"/>
        </w:rPr>
        <w:t>:</w:t>
      </w:r>
      <w:r>
        <w:t xml:space="preserve"> </w:t>
      </w:r>
      <w:r>
        <w:rPr>
          <w:rStyle w:val="C3"/>
          <w:b w:val="1"/>
        </w:rPr>
        <w:t>MODIFICASE</w:t>
      </w:r>
      <w:r>
        <w:t xml:space="preserve"> el Artículo 4º de la Ordenanza Nº 8731 el que quedará redactado de la siguiente manera:</w:t>
      </w:r>
    </w:p>
    <w:p>
      <w:pPr>
        <w:spacing w:lineRule="auto" w:line="276" w:after="200"/>
        <w:ind w:left="426"/>
        <w:jc w:val="both"/>
        <w:rPr>
          <w:rStyle w:val="C3"/>
          <w:rFonts w:ascii="Courier New" w:hAnsi="Courier New"/>
        </w:rPr>
      </w:pPr>
      <w:r>
        <w:rPr>
          <w:rStyle w:val="C3"/>
          <w:rFonts w:ascii="Courier New" w:hAnsi="Courier New"/>
          <w:b w:val="1"/>
        </w:rPr>
        <w:t>Artículo 4°:</w:t>
      </w:r>
      <w:r>
        <w:rPr>
          <w:rStyle w:val="C3"/>
          <w:rFonts w:ascii="Courier New" w:hAnsi="Courier New"/>
        </w:rPr>
        <w:t xml:space="preserve"> La Municipalidad de Alta Gracia, titular de SEISCIENTAS DOCE (612) acciones ordinarias nominativas no endosables clase A, regirá el ejercicio de los derechos y prerrogativas establecidas en los artículos séptimo, decimocuarto, decimoséptimo y decimonoveno del Estatuto, en su calidad de tenedor de acciones clase A, para lo cual se establecen las siguientes pautas:</w:t>
      </w:r>
    </w:p>
    <w:p>
      <w:pPr>
        <w:spacing w:lineRule="auto" w:line="276" w:after="200"/>
        <w:ind w:left="426"/>
        <w:jc w:val="both"/>
        <w:rPr>
          <w:rStyle w:val="C3"/>
          <w:rFonts w:ascii="Courier New" w:hAnsi="Courier New"/>
        </w:rPr>
      </w:pPr>
      <w:r>
        <w:rPr>
          <w:rStyle w:val="C3"/>
          <w:rFonts w:ascii="Courier New" w:hAnsi="Courier New"/>
          <w:b w:val="1"/>
        </w:rPr>
        <w:t>A)</w:t>
      </w:r>
      <w:r>
        <w:rPr>
          <w:rStyle w:val="C3"/>
          <w:rFonts w:ascii="Courier New" w:hAnsi="Courier New"/>
        </w:rPr>
        <w:t xml:space="preserve"> Directores: su designación y remoción (art. 7°); y el reemplazo de los mismos (art. 14°), es facultad del Departamento Ejecutivo Municipal, con acuerdo del Honorable Concejo Deliberante.</w:t>
      </w:r>
    </w:p>
    <w:p>
      <w:pPr>
        <w:spacing w:lineRule="auto" w:line="276" w:after="200"/>
        <w:ind w:left="426"/>
        <w:jc w:val="both"/>
        <w:rPr>
          <w:rStyle w:val="C3"/>
          <w:rFonts w:ascii="Courier New" w:hAnsi="Courier New"/>
        </w:rPr>
      </w:pPr>
      <w:r>
        <w:rPr>
          <w:rStyle w:val="C3"/>
          <w:rFonts w:ascii="Courier New" w:hAnsi="Courier New"/>
          <w:b w:val="1"/>
        </w:rPr>
        <w:t>B)</w:t>
      </w:r>
      <w:r>
        <w:rPr>
          <w:rStyle w:val="C3"/>
          <w:rFonts w:ascii="Courier New" w:hAnsi="Courier New"/>
        </w:rPr>
        <w:t xml:space="preserve"> Síndicos: su designación (art. 17°) será a propuesta del Departamento Ejecutivo previo acuerdo de las dos terceras partes del total de miembros del  Concejo Deliberante. Su remoción y reemplazo serán dispuestos por idéntico proceso que prevé su designación. </w:t>
      </w:r>
    </w:p>
    <w:p>
      <w:pPr>
        <w:spacing w:lineRule="auto" w:line="276" w:after="200"/>
        <w:ind w:left="426"/>
        <w:jc w:val="both"/>
        <w:rPr>
          <w:rStyle w:val="C3"/>
          <w:rFonts w:ascii="Courier New" w:hAnsi="Courier New"/>
        </w:rPr>
      </w:pPr>
      <w:r>
        <w:rPr>
          <w:rStyle w:val="C3"/>
          <w:rFonts w:ascii="Courier New" w:hAnsi="Courier New"/>
          <w:b w:val="1"/>
        </w:rPr>
        <w:t>c)</w:t>
      </w:r>
      <w:r>
        <w:rPr>
          <w:rStyle w:val="C3"/>
          <w:rFonts w:ascii="Courier New" w:hAnsi="Courier New"/>
          <w:b w:val="1"/>
        </w:rPr>
        <w:t xml:space="preserve"> </w:t>
      </w:r>
      <w:r>
        <w:rPr>
          <w:rStyle w:val="C3"/>
          <w:rFonts w:ascii="Courier New" w:hAnsi="Courier New"/>
        </w:rPr>
        <w:t xml:space="preserve">Liquidador/es: su designación (art. 19°), se realizará a propuesta del Departamento Ejecutivo, previo acuerdo de las dos terceras partes del total de miembros del  Concejo Deliberante.-</w:t>
      </w:r>
    </w:p>
    <w:p>
      <w:pPr>
        <w:spacing w:lineRule="auto" w:line="276" w:after="200"/>
        <w:ind w:left="426"/>
        <w:jc w:val="right"/>
        <w:rPr>
          <w:rStyle w:val="C3"/>
          <w:rFonts w:ascii="Courier New" w:hAnsi="Courier New"/>
        </w:rPr>
      </w:pPr>
      <w:r>
        <w:rPr>
          <w:rStyle w:val="C3"/>
          <w:rFonts w:ascii="Courier New" w:hAnsi="Courier New"/>
        </w:rPr>
        <w:t>...///</w:t>
      </w:r>
    </w:p>
    <w:p>
      <w:pPr>
        <w:pStyle w:val="P11"/>
        <w:ind w:hanging="426" w:left="426"/>
        <w:rPr>
          <w:rStyle w:val="C3"/>
        </w:rPr>
      </w:pPr>
    </w:p>
    <w:p>
      <w:pPr>
        <w:pStyle w:val="P11"/>
        <w:ind w:hanging="426" w:left="426"/>
        <w:rPr>
          <w:rStyle w:val="C3"/>
        </w:rPr>
      </w:pPr>
    </w:p>
    <w:p>
      <w:pPr>
        <w:pStyle w:val="P11"/>
        <w:ind w:hanging="1" w:left="426"/>
        <w:rPr>
          <w:rStyle w:val="C3"/>
        </w:rPr>
      </w:pPr>
    </w:p>
    <w:p>
      <w:pPr>
        <w:spacing w:lineRule="auto" w:line="276" w:after="200"/>
        <w:ind w:left="425"/>
        <w:contextualSpacing w:val="1"/>
        <w:jc w:val="both"/>
        <w:rPr>
          <w:rStyle w:val="C3"/>
          <w:rFonts w:ascii="Courier New" w:hAnsi="Courier New"/>
        </w:rPr>
      </w:pPr>
    </w:p>
    <w:p>
      <w:pPr>
        <w:spacing w:lineRule="auto" w:line="276"/>
        <w:jc w:val="both"/>
        <w:rPr>
          <w:rStyle w:val="C3"/>
          <w:rFonts w:ascii="Courier New" w:hAnsi="Courier New"/>
        </w:rPr>
      </w:pPr>
    </w:p>
    <w:p>
      <w:pPr>
        <w:spacing w:lineRule="auto" w:line="276" w:after="200"/>
        <w:ind w:left="426"/>
        <w:jc w:val="both"/>
        <w:rPr>
          <w:rStyle w:val="C3"/>
          <w:rFonts w:ascii="Courier New" w:hAnsi="Courier New"/>
        </w:rPr>
      </w:pPr>
    </w:p>
    <w:p>
      <w:pPr>
        <w:pStyle w:val="P11"/>
        <w:ind w:hanging="1"/>
      </w:pPr>
      <w:r>
        <w:t xml:space="preserve">...///3.- </w:t>
      </w:r>
    </w:p>
    <w:p>
      <w:pPr>
        <w:pStyle w:val="P11"/>
        <w:ind w:hanging="1"/>
      </w:pPr>
    </w:p>
    <w:p>
      <w:pPr>
        <w:pStyle w:val="P11"/>
        <w:ind w:hanging="426" w:left="426"/>
      </w:pPr>
      <w:r>
        <w:rPr>
          <w:rStyle w:val="C3"/>
          <w:b w:val="1"/>
          <w:u w:val="single"/>
        </w:rPr>
        <w:t>Art.</w:t>
      </w:r>
      <w:r>
        <w:rPr>
          <w:rStyle w:val="C3"/>
          <w:b w:val="1"/>
          <w:u w:val="single"/>
        </w:rPr>
        <w:t>3</w:t>
      </w:r>
      <w:r>
        <w:rPr>
          <w:rStyle w:val="C3"/>
          <w:b w:val="1"/>
        </w:rPr>
        <w:t>:</w:t>
      </w:r>
      <w:r>
        <w:t xml:space="preserve"> </w:t>
      </w:r>
      <w:r>
        <w:rPr>
          <w:rStyle w:val="C3"/>
          <w:b w:val="1"/>
        </w:rPr>
        <w:t>MODIFICASE</w:t>
      </w:r>
      <w:r>
        <w:t xml:space="preserve"> el Artículo 5º del Estatuto el que quedará redactado de la siguiente manera: </w:t>
      </w:r>
    </w:p>
    <w:p>
      <w:pPr>
        <w:pStyle w:val="P11"/>
        <w:ind w:hanging="1" w:left="426"/>
      </w:pPr>
    </w:p>
    <w:p>
      <w:pPr>
        <w:pStyle w:val="P11"/>
        <w:ind w:hanging="1" w:left="426"/>
      </w:pPr>
      <w:r>
        <w:t>CAPITAL SOCIAL – ACCIONES</w:t>
      </w:r>
    </w:p>
    <w:p>
      <w:pPr>
        <w:pStyle w:val="P11"/>
        <w:ind w:hanging="426" w:left="426"/>
      </w:pPr>
    </w:p>
    <w:p>
      <w:pPr>
        <w:spacing w:lineRule="auto" w:line="276" w:after="100" w:afterAutospacing="1"/>
        <w:ind w:left="425"/>
        <w:contextualSpacing w:val="1"/>
        <w:jc w:val="both"/>
        <w:rPr>
          <w:rStyle w:val="C3"/>
          <w:rFonts w:ascii="Courier New" w:hAnsi="Courier New"/>
        </w:rPr>
      </w:pPr>
      <w:r>
        <w:rPr>
          <w:rStyle w:val="C3"/>
          <w:rFonts w:ascii="Courier New" w:hAnsi="Courier New"/>
          <w:b w:val="1"/>
        </w:rPr>
        <w:t>Artículo 5º.-</w:t>
      </w:r>
      <w:r>
        <w:rPr>
          <w:rStyle w:val="C3"/>
          <w:rFonts w:ascii="Courier New" w:hAnsi="Courier New"/>
        </w:rPr>
        <w:t xml:space="preserve"> El capital social es de PESOS DOCE MIL ($ 12.000,00), dividido en SEISCIENTAS DOCE (612) acciones ordinarias nominativas no endosables de PESOS DIEZ ($10), valor nominal cada una clase A con derecho a un voto por acción, y QUINIENTOS OCHENTA Y OCHO (588) acciones ordinarias nominativas no endosables de PESOS DIEZ ($ 10), valor nominal cada una clase B con derecho a un voto por acción. Dichas acciones se hallan suscriptas e integradas en su totalidad de la siguiente manera: un CINCUENTA Y UNO POR CIENTO (51%) para la Municipalidad de Alta Gracia o sea SEISCIENTAS DOCE (612) acciones clase A y el CUARENTA Y NUEVE POR CIENTO (49%) para las entidades cooperativas que firmen el contrato social, o sea QUINIENTOS OCHENTA Y OCHO (588) acciones clase B. El capital puede ser aumentado por decisión de la Asamblea Ordinaria hasta el quíntuplo de su monto, conforme al Artículo 188º de la Ley Nº 19.550. La Asamblea sólo podrá delegar en el Directorio, la época de emisión, forma y condiciones de pago. La Resolución de la Asamblea se publicará por un (1) día en el Boletín Oficial.-</w:t>
      </w:r>
    </w:p>
    <w:p>
      <w:pPr>
        <w:spacing w:lineRule="auto" w:line="276" w:after="200"/>
        <w:ind w:left="426"/>
        <w:jc w:val="both"/>
        <w:rPr>
          <w:rStyle w:val="C3"/>
          <w:rFonts w:ascii="Courier New" w:hAnsi="Courier New"/>
        </w:rPr>
      </w:pPr>
    </w:p>
    <w:p>
      <w:pPr>
        <w:pStyle w:val="P11"/>
        <w:ind w:hanging="426" w:left="426"/>
      </w:pPr>
      <w:r>
        <w:rPr>
          <w:rStyle w:val="C3"/>
          <w:b w:val="1"/>
          <w:u w:val="single"/>
        </w:rPr>
        <w:t>Art.</w:t>
      </w:r>
      <w:r>
        <w:rPr>
          <w:rStyle w:val="C3"/>
          <w:b w:val="1"/>
          <w:u w:val="single"/>
        </w:rPr>
        <w:t>4</w:t>
      </w:r>
      <w:r>
        <w:rPr>
          <w:rStyle w:val="C3"/>
          <w:b w:val="1"/>
        </w:rPr>
        <w:t>:</w:t>
      </w:r>
      <w:r>
        <w:t xml:space="preserve"> </w:t>
      </w:r>
      <w:r>
        <w:rPr>
          <w:rStyle w:val="C3"/>
          <w:b w:val="1"/>
        </w:rPr>
        <w:t>MODIFICASE</w:t>
      </w:r>
      <w:r>
        <w:t xml:space="preserve"> el Artículo 16º del Estatuto el que quedará redactado  de la siguiente manera:  </w:t>
      </w:r>
    </w:p>
    <w:p>
      <w:pPr>
        <w:pStyle w:val="P11"/>
        <w:ind w:hanging="426" w:left="426"/>
      </w:pPr>
    </w:p>
    <w:p>
      <w:pPr>
        <w:spacing w:lineRule="auto" w:line="276" w:after="200"/>
        <w:jc w:val="both"/>
        <w:rPr>
          <w:rStyle w:val="C3"/>
          <w:rFonts w:ascii="Courier New" w:hAnsi="Courier New"/>
        </w:rPr>
      </w:pPr>
      <w:r>
        <w:rPr>
          <w:rStyle w:val="C3"/>
          <w:rFonts w:ascii="Courier New" w:hAnsi="Courier New"/>
        </w:rPr>
        <w:t xml:space="preserve">   EJERCICIO ECONOMICO- FINANCIERO - GANANCIAS Y DIVIDENDOS</w:t>
      </w:r>
    </w:p>
    <w:p>
      <w:pPr>
        <w:spacing w:lineRule="auto" w:line="276" w:after="200"/>
        <w:ind w:left="426"/>
        <w:jc w:val="both"/>
        <w:rPr>
          <w:rStyle w:val="C3"/>
          <w:rFonts w:ascii="Courier New" w:hAnsi="Courier New"/>
        </w:rPr>
      </w:pPr>
      <w:r>
        <w:rPr>
          <w:rStyle w:val="C3"/>
          <w:rFonts w:ascii="Courier New" w:hAnsi="Courier New"/>
          <w:b w:val="1"/>
        </w:rPr>
        <w:t>Artículo 16º.-</w:t>
      </w:r>
      <w:r>
        <w:rPr>
          <w:rStyle w:val="C3"/>
          <w:rFonts w:ascii="Courier New" w:hAnsi="Courier New"/>
        </w:rPr>
        <w:t xml:space="preserve"> El Ejercicio Social cierra el TREINTA Y UNO (31) de diciembre de cada año. A esa fecha, se confeccionarán los Estados Contables conforme </w:t>
      </w:r>
    </w:p>
    <w:p>
      <w:pPr>
        <w:spacing w:lineRule="auto" w:line="276" w:after="200"/>
        <w:ind w:left="426"/>
        <w:jc w:val="right"/>
        <w:rPr>
          <w:rStyle w:val="C3"/>
          <w:rFonts w:ascii="Courier New" w:hAnsi="Courier New"/>
        </w:rPr>
      </w:pPr>
      <w:r>
        <w:rPr>
          <w:rStyle w:val="C3"/>
          <w:rFonts w:ascii="Courier New" w:hAnsi="Courier New"/>
          <w:b w:val="1"/>
        </w:rPr>
        <w:t>.</w:t>
      </w:r>
      <w:r>
        <w:rPr>
          <w:rStyle w:val="C3"/>
          <w:rFonts w:ascii="Courier New" w:hAnsi="Courier New"/>
        </w:rPr>
        <w:t>..///</w:t>
      </w:r>
    </w:p>
    <w:p>
      <w:pPr>
        <w:spacing w:lineRule="auto" w:line="276" w:after="200"/>
        <w:ind w:left="426"/>
        <w:jc w:val="both"/>
        <w:rPr>
          <w:rStyle w:val="C3"/>
          <w:rFonts w:ascii="Courier New" w:hAnsi="Courier New"/>
        </w:rPr>
      </w:pPr>
    </w:p>
    <w:p>
      <w:pPr>
        <w:spacing w:after="120"/>
        <w:jc w:val="both"/>
        <w:rPr>
          <w:rStyle w:val="C3"/>
          <w:rFonts w:ascii="Courier New" w:hAnsi="Courier New"/>
        </w:rPr>
      </w:pPr>
    </w:p>
    <w:p>
      <w:pPr>
        <w:spacing w:after="120"/>
        <w:jc w:val="both"/>
        <w:rPr>
          <w:rStyle w:val="C3"/>
          <w:rFonts w:ascii="Courier New" w:hAnsi="Courier New"/>
        </w:rPr>
      </w:pPr>
    </w:p>
    <w:p>
      <w:pPr>
        <w:spacing w:after="120"/>
        <w:jc w:val="both"/>
        <w:rPr>
          <w:rStyle w:val="C3"/>
          <w:rFonts w:ascii="Courier New" w:hAnsi="Courier New"/>
        </w:rPr>
      </w:pPr>
    </w:p>
    <w:p>
      <w:pPr>
        <w:spacing w:after="120"/>
        <w:jc w:val="both"/>
        <w:rPr>
          <w:rStyle w:val="C3"/>
          <w:rFonts w:ascii="Courier New" w:hAnsi="Courier New"/>
        </w:rPr>
      </w:pPr>
    </w:p>
    <w:p>
      <w:pPr>
        <w:spacing w:after="120"/>
        <w:jc w:val="both"/>
        <w:rPr>
          <w:rStyle w:val="C3"/>
          <w:rFonts w:ascii="Courier New" w:hAnsi="Courier New"/>
        </w:rPr>
      </w:pPr>
      <w:r>
        <w:rPr>
          <w:rStyle w:val="C3"/>
          <w:rFonts w:ascii="Courier New" w:hAnsi="Courier New"/>
        </w:rPr>
        <w:t>...///4.-</w:t>
      </w:r>
    </w:p>
    <w:p>
      <w:pPr>
        <w:spacing w:lineRule="auto" w:line="276" w:after="200"/>
        <w:ind w:left="426"/>
        <w:jc w:val="both"/>
        <w:rPr>
          <w:rStyle w:val="C3"/>
          <w:rFonts w:ascii="Courier New" w:hAnsi="Courier New"/>
        </w:rPr>
      </w:pPr>
      <w:r>
        <w:rPr>
          <w:rStyle w:val="C3"/>
          <w:rFonts w:ascii="Courier New" w:hAnsi="Courier New"/>
        </w:rPr>
        <w:t>a las normas en vigencia. Las ganancias realizadas y líquidas se destinan: 1) El CINCO POR CIENTO (5%), para el fondo de reserva legal.- 2) A dividendos de las acciones preferidas si se las estableciera.- 3) A remuneración del Directorio y Síndicos.- 4) LAS utilidades que obtenga Alta Gracia Gas SA, deberán destinarse: un OCHENTA POR CIENTO (80%) a obras destinadas al mejoramiento o extensión del servicio de la cual será concesionaria; un VEINTE POR CIENTO (20%) a educación (Artículo 7º, Ordenanza Nº 8731).-</w:t>
      </w: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 </w:t>
      </w:r>
    </w:p>
    <w:p>
      <w:pPr>
        <w:pStyle w:val="P17"/>
        <w:rPr>
          <w:rStyle w:val="C3"/>
        </w:rPr>
      </w:pPr>
    </w:p>
    <w:p>
      <w:pPr>
        <w:pStyle w:val="P17"/>
        <w:rPr>
          <w:rStyle w:val="C3"/>
        </w:rPr>
      </w:pPr>
    </w:p>
    <w:p>
      <w:pPr>
        <w:pStyle w:val="P17"/>
      </w:pPr>
      <w:r>
        <w:t xml:space="preserve">DADA EN LA SALA DE SESIONES DEL HONORABLE CONCEJO DELIBERANTE A LOS SEIS DÍAS DEL MES DE ABRIL DEL AÑO DOS MIL ONCE.-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1DFC79D">
      <w:start w:val="0"/>
      <w:numFmt w:val="bullet"/>
      <w:suff w:val="tab"/>
      <w:lvlText w:val=""/>
      <w:lvlJc w:val="left"/>
      <w:pPr>
        <w:ind w:hanging="360" w:left="927"/>
      </w:pPr>
      <w:rPr>
        <w:rFonts w:ascii="Symbol" w:hAnsi="Symbol"/>
      </w:rPr>
    </w:lvl>
    <w:lvl w:ilvl="1" w:tplc="15356DE1">
      <w:start w:val="1"/>
      <w:numFmt w:val="bullet"/>
      <w:suff w:val="tab"/>
      <w:lvlText w:val="o"/>
      <w:lvlJc w:val="left"/>
      <w:pPr>
        <w:ind w:hanging="360" w:left="1647"/>
      </w:pPr>
      <w:rPr>
        <w:rFonts w:ascii="Courier New" w:hAnsi="Courier New"/>
      </w:rPr>
    </w:lvl>
    <w:lvl w:ilvl="2" w:tplc="40403808">
      <w:start w:val="1"/>
      <w:numFmt w:val="bullet"/>
      <w:suff w:val="tab"/>
      <w:lvlText w:val=""/>
      <w:lvlJc w:val="left"/>
      <w:pPr>
        <w:ind w:hanging="360" w:left="2367"/>
      </w:pPr>
      <w:rPr>
        <w:rFonts w:ascii="Wingdings" w:hAnsi="Wingdings"/>
      </w:rPr>
    </w:lvl>
    <w:lvl w:ilvl="3" w:tplc="733971F9">
      <w:start w:val="1"/>
      <w:numFmt w:val="bullet"/>
      <w:suff w:val="tab"/>
      <w:lvlText w:val=""/>
      <w:lvlJc w:val="left"/>
      <w:pPr>
        <w:ind w:hanging="360" w:left="3087"/>
      </w:pPr>
      <w:rPr>
        <w:rFonts w:ascii="Symbol" w:hAnsi="Symbol"/>
      </w:rPr>
    </w:lvl>
    <w:lvl w:ilvl="4" w:tplc="74B2995C">
      <w:start w:val="1"/>
      <w:numFmt w:val="bullet"/>
      <w:suff w:val="tab"/>
      <w:lvlText w:val="o"/>
      <w:lvlJc w:val="left"/>
      <w:pPr>
        <w:ind w:hanging="360" w:left="3807"/>
      </w:pPr>
      <w:rPr>
        <w:rFonts w:ascii="Courier New" w:hAnsi="Courier New"/>
      </w:rPr>
    </w:lvl>
    <w:lvl w:ilvl="5" w:tplc="496D6D92">
      <w:start w:val="1"/>
      <w:numFmt w:val="bullet"/>
      <w:suff w:val="tab"/>
      <w:lvlText w:val=""/>
      <w:lvlJc w:val="left"/>
      <w:pPr>
        <w:ind w:hanging="360" w:left="4527"/>
      </w:pPr>
      <w:rPr>
        <w:rFonts w:ascii="Wingdings" w:hAnsi="Wingdings"/>
      </w:rPr>
    </w:lvl>
    <w:lvl w:ilvl="6" w:tplc="18A7DE88">
      <w:start w:val="1"/>
      <w:numFmt w:val="bullet"/>
      <w:suff w:val="tab"/>
      <w:lvlText w:val=""/>
      <w:lvlJc w:val="left"/>
      <w:pPr>
        <w:ind w:hanging="360" w:left="5247"/>
      </w:pPr>
      <w:rPr>
        <w:rFonts w:ascii="Symbol" w:hAnsi="Symbol"/>
      </w:rPr>
    </w:lvl>
    <w:lvl w:ilvl="7" w:tplc="511B6256">
      <w:start w:val="1"/>
      <w:numFmt w:val="bullet"/>
      <w:suff w:val="tab"/>
      <w:lvlText w:val="o"/>
      <w:lvlJc w:val="left"/>
      <w:pPr>
        <w:ind w:hanging="360" w:left="5967"/>
      </w:pPr>
      <w:rPr>
        <w:rFonts w:ascii="Courier New" w:hAnsi="Courier New"/>
      </w:rPr>
    </w:lvl>
    <w:lvl w:ilvl="8" w:tplc="63CDE29F">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3DC05F60">
      <w:start w:val="0"/>
      <w:numFmt w:val="bullet"/>
      <w:suff w:val="tab"/>
      <w:lvlText w:val="-"/>
      <w:lvlJc w:val="left"/>
      <w:pPr>
        <w:ind w:hanging="360" w:left="720"/>
        <w:tabs>
          <w:tab w:val="left" w:pos="720" w:leader="none"/>
        </w:tabs>
      </w:pPr>
      <w:rPr>
        <w:rFonts w:ascii="Times New Roman" w:hAnsi="Times New Roman"/>
      </w:rPr>
    </w:lvl>
    <w:lvl w:ilvl="1" w:tplc="08350847">
      <w:start w:val="1"/>
      <w:numFmt w:val="bullet"/>
      <w:suff w:val="tab"/>
      <w:lvlText w:val="o"/>
      <w:lvlJc w:val="left"/>
      <w:pPr>
        <w:ind w:hanging="360" w:left="1440"/>
        <w:tabs>
          <w:tab w:val="left" w:pos="1440" w:leader="none"/>
        </w:tabs>
      </w:pPr>
      <w:rPr>
        <w:rFonts w:ascii="Courier New" w:hAnsi="Courier New"/>
      </w:rPr>
    </w:lvl>
    <w:lvl w:ilvl="2" w:tplc="6DA0320A">
      <w:start w:val="1"/>
      <w:numFmt w:val="bullet"/>
      <w:suff w:val="tab"/>
      <w:lvlText w:val=""/>
      <w:lvlJc w:val="left"/>
      <w:pPr>
        <w:ind w:hanging="360" w:left="2160"/>
        <w:tabs>
          <w:tab w:val="left" w:pos="2160" w:leader="none"/>
        </w:tabs>
      </w:pPr>
      <w:rPr>
        <w:rFonts w:ascii="Wingdings" w:hAnsi="Wingdings"/>
      </w:rPr>
    </w:lvl>
    <w:lvl w:ilvl="3" w:tplc="1DDF66F9">
      <w:start w:val="1"/>
      <w:numFmt w:val="bullet"/>
      <w:suff w:val="tab"/>
      <w:lvlText w:val=""/>
      <w:lvlJc w:val="left"/>
      <w:pPr>
        <w:ind w:hanging="360" w:left="2880"/>
        <w:tabs>
          <w:tab w:val="left" w:pos="2880" w:leader="none"/>
        </w:tabs>
      </w:pPr>
      <w:rPr>
        <w:rFonts w:ascii="Symbol" w:hAnsi="Symbol"/>
      </w:rPr>
    </w:lvl>
    <w:lvl w:ilvl="4" w:tplc="10A0E0E5">
      <w:start w:val="1"/>
      <w:numFmt w:val="bullet"/>
      <w:suff w:val="tab"/>
      <w:lvlText w:val="o"/>
      <w:lvlJc w:val="left"/>
      <w:pPr>
        <w:ind w:hanging="360" w:left="3600"/>
        <w:tabs>
          <w:tab w:val="left" w:pos="3600" w:leader="none"/>
        </w:tabs>
      </w:pPr>
      <w:rPr>
        <w:rFonts w:ascii="Courier New" w:hAnsi="Courier New"/>
      </w:rPr>
    </w:lvl>
    <w:lvl w:ilvl="5" w:tplc="6DB6A3D3">
      <w:start w:val="1"/>
      <w:numFmt w:val="bullet"/>
      <w:suff w:val="tab"/>
      <w:lvlText w:val=""/>
      <w:lvlJc w:val="left"/>
      <w:pPr>
        <w:ind w:hanging="360" w:left="4320"/>
        <w:tabs>
          <w:tab w:val="left" w:pos="4320" w:leader="none"/>
        </w:tabs>
      </w:pPr>
      <w:rPr>
        <w:rFonts w:ascii="Wingdings" w:hAnsi="Wingdings"/>
      </w:rPr>
    </w:lvl>
    <w:lvl w:ilvl="6" w:tplc="3054A46F">
      <w:start w:val="1"/>
      <w:numFmt w:val="bullet"/>
      <w:suff w:val="tab"/>
      <w:lvlText w:val=""/>
      <w:lvlJc w:val="left"/>
      <w:pPr>
        <w:ind w:hanging="360" w:left="5040"/>
        <w:tabs>
          <w:tab w:val="left" w:pos="5040" w:leader="none"/>
        </w:tabs>
      </w:pPr>
      <w:rPr>
        <w:rFonts w:ascii="Symbol" w:hAnsi="Symbol"/>
      </w:rPr>
    </w:lvl>
    <w:lvl w:ilvl="7" w:tplc="58CF85C9">
      <w:start w:val="1"/>
      <w:numFmt w:val="bullet"/>
      <w:suff w:val="tab"/>
      <w:lvlText w:val="o"/>
      <w:lvlJc w:val="left"/>
      <w:pPr>
        <w:ind w:hanging="360" w:left="5760"/>
        <w:tabs>
          <w:tab w:val="left" w:pos="5760" w:leader="none"/>
        </w:tabs>
      </w:pPr>
      <w:rPr>
        <w:rFonts w:ascii="Courier New" w:hAnsi="Courier New"/>
      </w:rPr>
    </w:lvl>
    <w:lvl w:ilvl="8" w:tplc="29719443">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0AF883E0">
      <w:start w:val="1"/>
      <w:numFmt w:val="bullet"/>
      <w:suff w:val="tab"/>
      <w:lvlText w:val=""/>
      <w:lvlJc w:val="left"/>
      <w:pPr>
        <w:ind w:hanging="360" w:left="720"/>
        <w:tabs>
          <w:tab w:val="left" w:pos="720" w:leader="none"/>
        </w:tabs>
      </w:pPr>
      <w:rPr>
        <w:rFonts w:ascii="Symbol" w:hAnsi="Symbol"/>
      </w:rPr>
    </w:lvl>
    <w:lvl w:ilvl="1" w:tplc="773E44BE">
      <w:start w:val="1"/>
      <w:numFmt w:val="bullet"/>
      <w:suff w:val="tab"/>
      <w:lvlText w:val="o"/>
      <w:lvlJc w:val="left"/>
      <w:pPr>
        <w:ind w:hanging="360" w:left="1440"/>
        <w:tabs>
          <w:tab w:val="left" w:pos="1440" w:leader="none"/>
        </w:tabs>
      </w:pPr>
      <w:rPr>
        <w:rFonts w:ascii="Courier New" w:hAnsi="Courier New"/>
      </w:rPr>
    </w:lvl>
    <w:lvl w:ilvl="2" w:tplc="4D79EDA5">
      <w:start w:val="1"/>
      <w:numFmt w:val="bullet"/>
      <w:suff w:val="tab"/>
      <w:lvlText w:val=""/>
      <w:lvlJc w:val="left"/>
      <w:pPr>
        <w:ind w:hanging="360" w:left="2160"/>
        <w:tabs>
          <w:tab w:val="left" w:pos="2160" w:leader="none"/>
        </w:tabs>
      </w:pPr>
      <w:rPr>
        <w:rFonts w:ascii="Wingdings" w:hAnsi="Wingdings"/>
      </w:rPr>
    </w:lvl>
    <w:lvl w:ilvl="3" w:tplc="1FFB2131">
      <w:start w:val="1"/>
      <w:numFmt w:val="bullet"/>
      <w:suff w:val="tab"/>
      <w:lvlText w:val=""/>
      <w:lvlJc w:val="left"/>
      <w:pPr>
        <w:ind w:hanging="360" w:left="2880"/>
        <w:tabs>
          <w:tab w:val="left" w:pos="2880" w:leader="none"/>
        </w:tabs>
      </w:pPr>
      <w:rPr>
        <w:rFonts w:ascii="Symbol" w:hAnsi="Symbol"/>
      </w:rPr>
    </w:lvl>
    <w:lvl w:ilvl="4" w:tplc="23B54F5A">
      <w:start w:val="1"/>
      <w:numFmt w:val="bullet"/>
      <w:suff w:val="tab"/>
      <w:lvlText w:val="o"/>
      <w:lvlJc w:val="left"/>
      <w:pPr>
        <w:ind w:hanging="360" w:left="3600"/>
        <w:tabs>
          <w:tab w:val="left" w:pos="3600" w:leader="none"/>
        </w:tabs>
      </w:pPr>
      <w:rPr>
        <w:rFonts w:ascii="Courier New" w:hAnsi="Courier New"/>
      </w:rPr>
    </w:lvl>
    <w:lvl w:ilvl="5" w:tplc="1F1D8CB9">
      <w:start w:val="1"/>
      <w:numFmt w:val="bullet"/>
      <w:suff w:val="tab"/>
      <w:lvlText w:val=""/>
      <w:lvlJc w:val="left"/>
      <w:pPr>
        <w:ind w:hanging="360" w:left="4320"/>
        <w:tabs>
          <w:tab w:val="left" w:pos="4320" w:leader="none"/>
        </w:tabs>
      </w:pPr>
      <w:rPr>
        <w:rFonts w:ascii="Wingdings" w:hAnsi="Wingdings"/>
      </w:rPr>
    </w:lvl>
    <w:lvl w:ilvl="6" w:tplc="6D43300D">
      <w:start w:val="1"/>
      <w:numFmt w:val="bullet"/>
      <w:suff w:val="tab"/>
      <w:lvlText w:val=""/>
      <w:lvlJc w:val="left"/>
      <w:pPr>
        <w:ind w:hanging="360" w:left="5040"/>
        <w:tabs>
          <w:tab w:val="left" w:pos="5040" w:leader="none"/>
        </w:tabs>
      </w:pPr>
      <w:rPr>
        <w:rFonts w:ascii="Symbol" w:hAnsi="Symbol"/>
      </w:rPr>
    </w:lvl>
    <w:lvl w:ilvl="7" w:tplc="6EACF5AE">
      <w:start w:val="1"/>
      <w:numFmt w:val="bullet"/>
      <w:suff w:val="tab"/>
      <w:lvlText w:val="o"/>
      <w:lvlJc w:val="left"/>
      <w:pPr>
        <w:ind w:hanging="360" w:left="5760"/>
        <w:tabs>
          <w:tab w:val="left" w:pos="5760" w:leader="none"/>
        </w:tabs>
      </w:pPr>
      <w:rPr>
        <w:rFonts w:ascii="Courier New" w:hAnsi="Courier New"/>
      </w:rPr>
    </w:lvl>
    <w:lvl w:ilvl="8" w:tplc="08836508">
      <w:start w:val="1"/>
      <w:numFmt w:val="bullet"/>
      <w:suff w:val="tab"/>
      <w:lvlText w:val=""/>
      <w:lvlJc w:val="left"/>
      <w:pPr>
        <w:ind w:hanging="360" w:left="6480"/>
        <w:tabs>
          <w:tab w:val="left" w:pos="6480" w:leader="none"/>
        </w:tabs>
      </w:pPr>
      <w:rPr>
        <w:rFonts w:ascii="Wingdings" w:hAnsi="Wingdings"/>
      </w:rPr>
    </w:lvl>
  </w:abstractNum>
  <w:abstractNum w:abstractNumId="16">
    <w:nsid w:val="429D41C4"/>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8">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9">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3B744C8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37E2AC2"/>
    <w:multiLevelType w:val="multilevel"/>
    <w:lvl w:ilvl="0">
      <w:start w:val="6"/>
      <w:numFmt w:val="decimal"/>
      <w:suff w:val="tab"/>
      <w:lvlText w:val="%1)"/>
      <w:lvlJc w:val="left"/>
      <w:pPr>
        <w:ind w:hanging="360" w:left="1069"/>
      </w:pPr>
      <w:rPr/>
    </w:lvl>
    <w:lvl w:ilvl="1">
      <w:start w:val="1"/>
      <w:numFmt w:val="lowerLetter"/>
      <w:suff w:val="tab"/>
      <w:lvlText w:val="%2."/>
      <w:lvlJc w:val="left"/>
      <w:pPr>
        <w:ind w:hanging="360" w:left="1789"/>
      </w:pPr>
      <w:rPr/>
    </w:lvl>
    <w:lvl w:ilvl="2">
      <w:start w:val="1"/>
      <w:numFmt w:val="lowerRoman"/>
      <w:suff w:val="tab"/>
      <w:lvlText w:val="%3."/>
      <w:lvlJc w:val="right"/>
      <w:pPr>
        <w:ind w:hanging="180" w:left="2509"/>
      </w:pPr>
      <w:rPr/>
    </w:lvl>
    <w:lvl w:ilvl="3">
      <w:start w:val="1"/>
      <w:numFmt w:val="decimal"/>
      <w:suff w:val="tab"/>
      <w:lvlText w:val="%4."/>
      <w:lvlJc w:val="left"/>
      <w:pPr>
        <w:ind w:hanging="360" w:left="3229"/>
      </w:pPr>
      <w:rPr/>
    </w:lvl>
    <w:lvl w:ilvl="4">
      <w:start w:val="1"/>
      <w:numFmt w:val="lowerLetter"/>
      <w:suff w:val="tab"/>
      <w:lvlText w:val="%5."/>
      <w:lvlJc w:val="left"/>
      <w:pPr>
        <w:ind w:hanging="360" w:left="3949"/>
      </w:pPr>
      <w:rPr/>
    </w:lvl>
    <w:lvl w:ilvl="5">
      <w:start w:val="1"/>
      <w:numFmt w:val="lowerRoman"/>
      <w:suff w:val="tab"/>
      <w:lvlText w:val="%6."/>
      <w:lvlJc w:val="right"/>
      <w:pPr>
        <w:ind w:hanging="180" w:left="4669"/>
      </w:pPr>
      <w:rPr/>
    </w:lvl>
    <w:lvl w:ilvl="6">
      <w:start w:val="1"/>
      <w:numFmt w:val="decimal"/>
      <w:suff w:val="tab"/>
      <w:lvlText w:val="%7."/>
      <w:lvlJc w:val="left"/>
      <w:pPr>
        <w:ind w:hanging="360" w:left="5389"/>
      </w:pPr>
      <w:rPr/>
    </w:lvl>
    <w:lvl w:ilvl="7">
      <w:start w:val="1"/>
      <w:numFmt w:val="lowerLetter"/>
      <w:suff w:val="tab"/>
      <w:lvlText w:val="%8."/>
      <w:lvlJc w:val="left"/>
      <w:pPr>
        <w:ind w:hanging="360" w:left="6109"/>
      </w:pPr>
      <w:rPr/>
    </w:lvl>
    <w:lvl w:ilvl="8">
      <w:start w:val="1"/>
      <w:numFmt w:val="lowerRoman"/>
      <w:suff w:val="tab"/>
      <w:lvlText w:val="%9."/>
      <w:lvlJc w:val="right"/>
      <w:pPr>
        <w:ind w:hanging="180" w:left="6829"/>
      </w:pPr>
      <w:rPr/>
    </w:lvl>
  </w:abstractNum>
  <w:abstractNum w:abstractNumId="2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9"/>
  </w:num>
  <w:num w:numId="3">
    <w:abstractNumId w:val="13"/>
  </w:num>
  <w:num w:numId="4">
    <w:abstractNumId w:val="24"/>
  </w:num>
  <w:num w:numId="5">
    <w:abstractNumId w:val="29"/>
  </w:num>
  <w:num w:numId="6">
    <w:abstractNumId w:val="7"/>
  </w:num>
  <w:num w:numId="7">
    <w:abstractNumId w:val="22"/>
  </w:num>
  <w:num w:numId="8">
    <w:abstractNumId w:val="3"/>
  </w:num>
  <w:num w:numId="9">
    <w:abstractNumId w:val="6"/>
  </w:num>
  <w:num w:numId="10">
    <w:abstractNumId w:val="8"/>
  </w:num>
  <w:num w:numId="11">
    <w:abstractNumId w:val="18"/>
  </w:num>
  <w:num w:numId="12">
    <w:abstractNumId w:val="19"/>
  </w:num>
  <w:num w:numId="13">
    <w:abstractNumId w:val="33"/>
  </w:num>
  <w:num w:numId="14">
    <w:abstractNumId w:val="28"/>
  </w:num>
  <w:num w:numId="15">
    <w:abstractNumId w:val="27"/>
  </w:num>
  <w:num w:numId="16">
    <w:abstractNumId w:val="15"/>
  </w:num>
  <w:num w:numId="17">
    <w:abstractNumId w:val="17"/>
  </w:num>
  <w:num w:numId="18">
    <w:abstractNumId w:val="30"/>
  </w:num>
  <w:num w:numId="19">
    <w:abstractNumId w:val="10"/>
  </w:num>
  <w:num w:numId="20">
    <w:abstractNumId w:val="4"/>
  </w:num>
  <w:num w:numId="21">
    <w:abstractNumId w:val="1"/>
  </w:num>
  <w:num w:numId="22">
    <w:abstractNumId w:val="21"/>
  </w:num>
  <w:num w:numId="23">
    <w:abstractNumId w:val="31"/>
  </w:num>
  <w:num w:numId="24">
    <w:abstractNumId w:val="25"/>
  </w:num>
  <w:num w:numId="25">
    <w:abstractNumId w:val="11"/>
  </w:num>
  <w:num w:numId="26">
    <w:abstractNumId w:val="32"/>
  </w:num>
  <w:num w:numId="27">
    <w:abstractNumId w:val="2"/>
  </w:num>
  <w:num w:numId="28">
    <w:abstractNumId w:val="23"/>
  </w:num>
  <w:num w:numId="29">
    <w:abstractNumId w:val="5"/>
  </w:num>
  <w:num w:numId="30">
    <w:abstractNumId w:val="14"/>
  </w:num>
  <w:num w:numId="31">
    <w:abstractNumId w:val="0"/>
  </w:num>
  <w:num w:numId="32">
    <w:abstractNumId w:val="12"/>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2"/>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2011-04-06T19:36:00Z</dcterms:created>
  <cp:lastModifiedBy>Ethan Puglia</cp:lastModifiedBy>
  <cp:lastPrinted>2011-04-06T20:32:00Z</cp:lastPrinted>
  <dcterms:modified xsi:type="dcterms:W3CDTF">2019-03-28T17:34:29Z</dcterms:modified>
  <cp:revision>17</cp:revision>
  <dc:title>PROYECTO DE ORDENANZA VIOLENCIA FAMILIAR</dc:title>
</cp:coreProperties>
</file>