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2B5EB0A" Type="http://schemas.openxmlformats.org/officeDocument/2006/relationships/officeDocument" Target="/word/document.xml" /><Relationship Id="coreR72B5EB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8845</w:t>
      </w:r>
    </w:p>
    <w:p/>
    <w:p/>
    <w:p>
      <w:pPr>
        <w:ind w:hanging="426" w:left="426"/>
        <w:jc w:val="both"/>
        <w:rPr>
          <w:rStyle w:val="C3"/>
          <w:rFonts w:ascii="Courier New" w:hAnsi="Courier New"/>
        </w:rPr>
      </w:pPr>
      <w:r>
        <w:rPr>
          <w:rStyle w:val="C3"/>
          <w:rFonts w:ascii="Courier New" w:hAnsi="Courier New"/>
        </w:rPr>
        <w:t>Visto: La firme decisión de recuperar para la ciudad de Alta Gracia la prestación del servicio público de distribución de gas natural;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spacing w:lineRule="auto" w:line="276" w:after="200"/>
        <w:ind w:left="426"/>
        <w:jc w:val="both"/>
        <w:rPr>
          <w:rStyle w:val="C3"/>
          <w:rFonts w:ascii="Courier New" w:hAnsi="Courier New"/>
        </w:rPr>
      </w:pPr>
      <w:r>
        <w:rPr>
          <w:rStyle w:val="C3"/>
          <w:rFonts w:ascii="Courier New" w:hAnsi="Courier New"/>
        </w:rPr>
        <w:t>Que mediante la Ordenanza Nº 8731 y su modificatoria se crea la Empresa Municipal de economía mixta Alta Gracia Gas S.A. con el objeto de prestar el servicio de provisión de gas por red en la ciudad de Alta Gracia;</w:t>
      </w:r>
    </w:p>
    <w:p>
      <w:pPr>
        <w:spacing w:lineRule="auto" w:line="276" w:after="200"/>
        <w:ind w:left="426"/>
        <w:jc w:val="both"/>
        <w:rPr>
          <w:rStyle w:val="C3"/>
          <w:rFonts w:ascii="Courier New" w:hAnsi="Courier New"/>
        </w:rPr>
      </w:pPr>
      <w:r>
        <w:rPr>
          <w:rStyle w:val="C3"/>
          <w:rFonts w:ascii="Courier New" w:hAnsi="Courier New"/>
        </w:rPr>
        <w:t>Que el 8 de junio de 2011 vence la prórroga contractual con la actual prestataria, Distribuidora Gas del Centro S.A. (ECOGAS);</w:t>
      </w:r>
    </w:p>
    <w:p>
      <w:pPr>
        <w:spacing w:lineRule="auto" w:line="276" w:after="200"/>
        <w:ind w:left="426"/>
        <w:jc w:val="both"/>
        <w:rPr>
          <w:rStyle w:val="C3"/>
          <w:rFonts w:ascii="Courier New" w:hAnsi="Courier New"/>
        </w:rPr>
      </w:pPr>
      <w:r>
        <w:rPr>
          <w:rStyle w:val="C3"/>
          <w:rFonts w:ascii="Courier New" w:hAnsi="Courier New"/>
        </w:rPr>
        <w:t>Que a los fines de recibir la infraestructura existente y base de datos necesarias para un correcto funcionamiento de la prestación, se debe hacer un diagnóstico claro de las condiciones de entrega de las mismas;</w:t>
      </w:r>
    </w:p>
    <w:p>
      <w:pPr>
        <w:spacing w:lineRule="auto" w:line="276" w:after="200"/>
        <w:ind w:left="426"/>
        <w:jc w:val="both"/>
        <w:rPr>
          <w:rStyle w:val="C3"/>
          <w:rFonts w:ascii="Courier New" w:hAnsi="Courier New"/>
        </w:rPr>
      </w:pPr>
      <w:r>
        <w:rPr>
          <w:rStyle w:val="C3"/>
          <w:rFonts w:ascii="Courier New" w:hAnsi="Courier New"/>
        </w:rPr>
        <w:t>Que además es obligación inherente al concesionario garantizar el normal funcionamiento de las instalaciones y la provisión de toda la información necesaria para que el servicio pueda prestarse en condiciones de continuidad y de calidad;</w:t>
      </w:r>
    </w:p>
    <w:p>
      <w:pPr>
        <w:spacing w:lineRule="auto" w:line="276" w:after="200"/>
        <w:ind w:left="426"/>
        <w:jc w:val="both"/>
        <w:rPr>
          <w:rStyle w:val="C3"/>
          <w:rFonts w:ascii="Courier New" w:hAnsi="Courier New"/>
        </w:rPr>
      </w:pPr>
      <w:r>
        <w:rPr>
          <w:rStyle w:val="C3"/>
          <w:rFonts w:ascii="Courier New" w:hAnsi="Courier New"/>
        </w:rPr>
        <w:t>Que es importante la conformación de una comisión integrada por técnicos, miembros del Departamento Ejecutivo, Concejales y del E.M.Se.P. (Ente Municipal de Servicios Públicos) para garantizar que las condiciones de traspaso del servicio se desarrolle con total normalidad en beneficio de los usuarios del sistema de nuestra Ciudad;</w:t>
      </w:r>
    </w:p>
    <w:p>
      <w:pPr>
        <w:spacing w:lineRule="auto" w:line="276" w:after="200"/>
        <w:ind w:left="426"/>
        <w:jc w:val="right"/>
        <w:rPr>
          <w:rStyle w:val="C3"/>
          <w:rFonts w:ascii="Courier New" w:hAnsi="Courier New"/>
        </w:rPr>
      </w:pPr>
      <w:r>
        <w:rPr>
          <w:rStyle w:val="C3"/>
          <w:rFonts w:ascii="Courier New" w:hAnsi="Courier New"/>
        </w:rPr>
        <w:t>...///</w:t>
      </w:r>
    </w:p>
    <w:p>
      <w:pPr>
        <w:spacing w:lineRule="auto" w:line="276" w:after="200"/>
        <w:ind w:left="426"/>
        <w:jc w:val="both"/>
        <w:rPr>
          <w:rStyle w:val="C3"/>
          <w:rFonts w:ascii="Courier New" w:hAnsi="Courier New"/>
        </w:rPr>
      </w:pPr>
    </w:p>
    <w:p>
      <w:pPr>
        <w:spacing w:lineRule="auto" w:line="276" w:after="200"/>
        <w:ind w:left="426"/>
        <w:jc w:val="both"/>
        <w:rPr>
          <w:rStyle w:val="C3"/>
          <w:rFonts w:ascii="Courier New" w:hAnsi="Courier New"/>
        </w:rPr>
      </w:pPr>
    </w:p>
    <w:p>
      <w:pPr>
        <w:spacing w:after="200"/>
        <w:ind w:left="426"/>
        <w:jc w:val="both"/>
        <w:rPr>
          <w:rStyle w:val="C3"/>
          <w:rFonts w:ascii="Courier New" w:hAnsi="Courier New"/>
        </w:rPr>
      </w:pPr>
    </w:p>
    <w:p>
      <w:pPr>
        <w:spacing w:lineRule="auto" w:line="276" w:after="200"/>
        <w:jc w:val="both"/>
        <w:rPr>
          <w:rStyle w:val="C3"/>
          <w:rFonts w:ascii="Courier New" w:hAnsi="Courier New"/>
        </w:rPr>
      </w:pPr>
    </w:p>
    <w:p>
      <w:pPr>
        <w:spacing w:lineRule="auto" w:line="276" w:after="200"/>
        <w:jc w:val="both"/>
        <w:rPr>
          <w:rStyle w:val="C3"/>
          <w:rFonts w:ascii="Courier New" w:hAnsi="Courier New"/>
        </w:rPr>
      </w:pPr>
    </w:p>
    <w:p>
      <w:pPr>
        <w:spacing w:lineRule="auto" w:line="276" w:after="200"/>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por unanimidad su aprobación en Sesión Ordinaria del día 06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CRÉASE</w:t>
      </w:r>
      <w:r>
        <w:rPr>
          <w:rStyle w:val="C3"/>
          <w:rFonts w:ascii="Courier New" w:hAnsi="Courier New"/>
        </w:rPr>
        <w:t xml:space="preserve"> una Comisión Revisora de las condiciones de traspaso de la prestación del servicio público de distribución de gas natural en la Ciudad de Alta Gracia, desde Distribuidora Gas del Centro S.A. (ECOGAS) hacia Alta Gracia Gas S.A..-</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ESTA</w:t>
      </w:r>
      <w:r>
        <w:rPr>
          <w:rStyle w:val="C3"/>
          <w:rFonts w:ascii="Courier New" w:hAnsi="Courier New"/>
        </w:rPr>
        <w:t xml:space="preserve"> comisión deberá garantizar la correcta operación de la red de distribución, el gasoducto de aproximación y las estaciones reguladoras y verificar si se realizaron las inversiones necesarias para cumplir con las normativas técnicas estipuladas en el artículo 1 y las contraprestaciones estipuladas en artículo 4 del Convenio de Concesión del servicio de distribución gas natural.-</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INTEGRASE </w:t>
      </w:r>
      <w:r>
        <w:rPr>
          <w:rStyle w:val="C3"/>
          <w:rFonts w:ascii="Courier New" w:hAnsi="Courier New"/>
        </w:rPr>
        <w:t>la Comisión Revisora con un concejal por cada bloque del Honorable Concejo Deliberante, los representantes que el Departamento Ejecutivo considere, pudiendo ser funcionarios y/o técnicos capacitados en la materia, y el o los representantes que el E.M.Se.P determine.-</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Departamento Ejecutivo deberá tomar todos los recaudos legales que considere pertinentes a fin de resguardar las condiciones del servicio y realizar las acciones que pudieren corresponder en caso de ser necesarias.-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SEIS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641362F">
      <w:start w:val="0"/>
      <w:numFmt w:val="bullet"/>
      <w:suff w:val="tab"/>
      <w:lvlText w:val=""/>
      <w:lvlJc w:val="left"/>
      <w:pPr>
        <w:ind w:hanging="360" w:left="927"/>
      </w:pPr>
      <w:rPr>
        <w:rFonts w:ascii="Symbol" w:hAnsi="Symbol"/>
      </w:rPr>
    </w:lvl>
    <w:lvl w:ilvl="1" w:tplc="0A502A83">
      <w:start w:val="1"/>
      <w:numFmt w:val="bullet"/>
      <w:suff w:val="tab"/>
      <w:lvlText w:val="o"/>
      <w:lvlJc w:val="left"/>
      <w:pPr>
        <w:ind w:hanging="360" w:left="1647"/>
      </w:pPr>
      <w:rPr>
        <w:rFonts w:ascii="Courier New" w:hAnsi="Courier New"/>
      </w:rPr>
    </w:lvl>
    <w:lvl w:ilvl="2" w:tplc="160B5732">
      <w:start w:val="1"/>
      <w:numFmt w:val="bullet"/>
      <w:suff w:val="tab"/>
      <w:lvlText w:val=""/>
      <w:lvlJc w:val="left"/>
      <w:pPr>
        <w:ind w:hanging="360" w:left="2367"/>
      </w:pPr>
      <w:rPr>
        <w:rFonts w:ascii="Wingdings" w:hAnsi="Wingdings"/>
      </w:rPr>
    </w:lvl>
    <w:lvl w:ilvl="3" w:tplc="3F14181C">
      <w:start w:val="1"/>
      <w:numFmt w:val="bullet"/>
      <w:suff w:val="tab"/>
      <w:lvlText w:val=""/>
      <w:lvlJc w:val="left"/>
      <w:pPr>
        <w:ind w:hanging="360" w:left="3087"/>
      </w:pPr>
      <w:rPr>
        <w:rFonts w:ascii="Symbol" w:hAnsi="Symbol"/>
      </w:rPr>
    </w:lvl>
    <w:lvl w:ilvl="4" w:tplc="2091C1D9">
      <w:start w:val="1"/>
      <w:numFmt w:val="bullet"/>
      <w:suff w:val="tab"/>
      <w:lvlText w:val="o"/>
      <w:lvlJc w:val="left"/>
      <w:pPr>
        <w:ind w:hanging="360" w:left="3807"/>
      </w:pPr>
      <w:rPr>
        <w:rFonts w:ascii="Courier New" w:hAnsi="Courier New"/>
      </w:rPr>
    </w:lvl>
    <w:lvl w:ilvl="5" w:tplc="5BC642BD">
      <w:start w:val="1"/>
      <w:numFmt w:val="bullet"/>
      <w:suff w:val="tab"/>
      <w:lvlText w:val=""/>
      <w:lvlJc w:val="left"/>
      <w:pPr>
        <w:ind w:hanging="360" w:left="4527"/>
      </w:pPr>
      <w:rPr>
        <w:rFonts w:ascii="Wingdings" w:hAnsi="Wingdings"/>
      </w:rPr>
    </w:lvl>
    <w:lvl w:ilvl="6" w:tplc="16736DC2">
      <w:start w:val="1"/>
      <w:numFmt w:val="bullet"/>
      <w:suff w:val="tab"/>
      <w:lvlText w:val=""/>
      <w:lvlJc w:val="left"/>
      <w:pPr>
        <w:ind w:hanging="360" w:left="5247"/>
      </w:pPr>
      <w:rPr>
        <w:rFonts w:ascii="Symbol" w:hAnsi="Symbol"/>
      </w:rPr>
    </w:lvl>
    <w:lvl w:ilvl="7" w:tplc="0EAFE81E">
      <w:start w:val="1"/>
      <w:numFmt w:val="bullet"/>
      <w:suff w:val="tab"/>
      <w:lvlText w:val="o"/>
      <w:lvlJc w:val="left"/>
      <w:pPr>
        <w:ind w:hanging="360" w:left="5967"/>
      </w:pPr>
      <w:rPr>
        <w:rFonts w:ascii="Courier New" w:hAnsi="Courier New"/>
      </w:rPr>
    </w:lvl>
    <w:lvl w:ilvl="8" w:tplc="1144642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17EDFA6">
      <w:start w:val="0"/>
      <w:numFmt w:val="bullet"/>
      <w:suff w:val="tab"/>
      <w:lvlText w:val="-"/>
      <w:lvlJc w:val="left"/>
      <w:pPr>
        <w:ind w:hanging="360" w:left="720"/>
        <w:tabs>
          <w:tab w:val="left" w:pos="720" w:leader="none"/>
        </w:tabs>
      </w:pPr>
      <w:rPr>
        <w:rFonts w:ascii="Times New Roman" w:hAnsi="Times New Roman"/>
      </w:rPr>
    </w:lvl>
    <w:lvl w:ilvl="1" w:tplc="6DEAB6EE">
      <w:start w:val="1"/>
      <w:numFmt w:val="bullet"/>
      <w:suff w:val="tab"/>
      <w:lvlText w:val="o"/>
      <w:lvlJc w:val="left"/>
      <w:pPr>
        <w:ind w:hanging="360" w:left="1440"/>
        <w:tabs>
          <w:tab w:val="left" w:pos="1440" w:leader="none"/>
        </w:tabs>
      </w:pPr>
      <w:rPr>
        <w:rFonts w:ascii="Courier New" w:hAnsi="Courier New"/>
      </w:rPr>
    </w:lvl>
    <w:lvl w:ilvl="2" w:tplc="10FB59D5">
      <w:start w:val="1"/>
      <w:numFmt w:val="bullet"/>
      <w:suff w:val="tab"/>
      <w:lvlText w:val=""/>
      <w:lvlJc w:val="left"/>
      <w:pPr>
        <w:ind w:hanging="360" w:left="2160"/>
        <w:tabs>
          <w:tab w:val="left" w:pos="2160" w:leader="none"/>
        </w:tabs>
      </w:pPr>
      <w:rPr>
        <w:rFonts w:ascii="Wingdings" w:hAnsi="Wingdings"/>
      </w:rPr>
    </w:lvl>
    <w:lvl w:ilvl="3" w:tplc="38B2AEDB">
      <w:start w:val="1"/>
      <w:numFmt w:val="bullet"/>
      <w:suff w:val="tab"/>
      <w:lvlText w:val=""/>
      <w:lvlJc w:val="left"/>
      <w:pPr>
        <w:ind w:hanging="360" w:left="2880"/>
        <w:tabs>
          <w:tab w:val="left" w:pos="2880" w:leader="none"/>
        </w:tabs>
      </w:pPr>
      <w:rPr>
        <w:rFonts w:ascii="Symbol" w:hAnsi="Symbol"/>
      </w:rPr>
    </w:lvl>
    <w:lvl w:ilvl="4" w:tplc="22ECA60D">
      <w:start w:val="1"/>
      <w:numFmt w:val="bullet"/>
      <w:suff w:val="tab"/>
      <w:lvlText w:val="o"/>
      <w:lvlJc w:val="left"/>
      <w:pPr>
        <w:ind w:hanging="360" w:left="3600"/>
        <w:tabs>
          <w:tab w:val="left" w:pos="3600" w:leader="none"/>
        </w:tabs>
      </w:pPr>
      <w:rPr>
        <w:rFonts w:ascii="Courier New" w:hAnsi="Courier New"/>
      </w:rPr>
    </w:lvl>
    <w:lvl w:ilvl="5" w:tplc="55BAEE03">
      <w:start w:val="1"/>
      <w:numFmt w:val="bullet"/>
      <w:suff w:val="tab"/>
      <w:lvlText w:val=""/>
      <w:lvlJc w:val="left"/>
      <w:pPr>
        <w:ind w:hanging="360" w:left="4320"/>
        <w:tabs>
          <w:tab w:val="left" w:pos="4320" w:leader="none"/>
        </w:tabs>
      </w:pPr>
      <w:rPr>
        <w:rFonts w:ascii="Wingdings" w:hAnsi="Wingdings"/>
      </w:rPr>
    </w:lvl>
    <w:lvl w:ilvl="6" w:tplc="584C9BFC">
      <w:start w:val="1"/>
      <w:numFmt w:val="bullet"/>
      <w:suff w:val="tab"/>
      <w:lvlText w:val=""/>
      <w:lvlJc w:val="left"/>
      <w:pPr>
        <w:ind w:hanging="360" w:left="5040"/>
        <w:tabs>
          <w:tab w:val="left" w:pos="5040" w:leader="none"/>
        </w:tabs>
      </w:pPr>
      <w:rPr>
        <w:rFonts w:ascii="Symbol" w:hAnsi="Symbol"/>
      </w:rPr>
    </w:lvl>
    <w:lvl w:ilvl="7" w:tplc="6619B551">
      <w:start w:val="1"/>
      <w:numFmt w:val="bullet"/>
      <w:suff w:val="tab"/>
      <w:lvlText w:val="o"/>
      <w:lvlJc w:val="left"/>
      <w:pPr>
        <w:ind w:hanging="360" w:left="5760"/>
        <w:tabs>
          <w:tab w:val="left" w:pos="5760" w:leader="none"/>
        </w:tabs>
      </w:pPr>
      <w:rPr>
        <w:rFonts w:ascii="Courier New" w:hAnsi="Courier New"/>
      </w:rPr>
    </w:lvl>
    <w:lvl w:ilvl="8" w:tplc="6C431509">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F468826">
      <w:start w:val="1"/>
      <w:numFmt w:val="bullet"/>
      <w:suff w:val="tab"/>
      <w:lvlText w:val=""/>
      <w:lvlJc w:val="left"/>
      <w:pPr>
        <w:ind w:hanging="360" w:left="720"/>
        <w:tabs>
          <w:tab w:val="left" w:pos="720" w:leader="none"/>
        </w:tabs>
      </w:pPr>
      <w:rPr>
        <w:rFonts w:ascii="Symbol" w:hAnsi="Symbol"/>
      </w:rPr>
    </w:lvl>
    <w:lvl w:ilvl="1" w:tplc="7FE1895E">
      <w:start w:val="1"/>
      <w:numFmt w:val="bullet"/>
      <w:suff w:val="tab"/>
      <w:lvlText w:val="o"/>
      <w:lvlJc w:val="left"/>
      <w:pPr>
        <w:ind w:hanging="360" w:left="1440"/>
        <w:tabs>
          <w:tab w:val="left" w:pos="1440" w:leader="none"/>
        </w:tabs>
      </w:pPr>
      <w:rPr>
        <w:rFonts w:ascii="Courier New" w:hAnsi="Courier New"/>
      </w:rPr>
    </w:lvl>
    <w:lvl w:ilvl="2" w:tplc="52BA44A8">
      <w:start w:val="1"/>
      <w:numFmt w:val="bullet"/>
      <w:suff w:val="tab"/>
      <w:lvlText w:val=""/>
      <w:lvlJc w:val="left"/>
      <w:pPr>
        <w:ind w:hanging="360" w:left="2160"/>
        <w:tabs>
          <w:tab w:val="left" w:pos="2160" w:leader="none"/>
        </w:tabs>
      </w:pPr>
      <w:rPr>
        <w:rFonts w:ascii="Wingdings" w:hAnsi="Wingdings"/>
      </w:rPr>
    </w:lvl>
    <w:lvl w:ilvl="3" w:tplc="1177C294">
      <w:start w:val="1"/>
      <w:numFmt w:val="bullet"/>
      <w:suff w:val="tab"/>
      <w:lvlText w:val=""/>
      <w:lvlJc w:val="left"/>
      <w:pPr>
        <w:ind w:hanging="360" w:left="2880"/>
        <w:tabs>
          <w:tab w:val="left" w:pos="2880" w:leader="none"/>
        </w:tabs>
      </w:pPr>
      <w:rPr>
        <w:rFonts w:ascii="Symbol" w:hAnsi="Symbol"/>
      </w:rPr>
    </w:lvl>
    <w:lvl w:ilvl="4" w:tplc="642C9AD7">
      <w:start w:val="1"/>
      <w:numFmt w:val="bullet"/>
      <w:suff w:val="tab"/>
      <w:lvlText w:val="o"/>
      <w:lvlJc w:val="left"/>
      <w:pPr>
        <w:ind w:hanging="360" w:left="3600"/>
        <w:tabs>
          <w:tab w:val="left" w:pos="3600" w:leader="none"/>
        </w:tabs>
      </w:pPr>
      <w:rPr>
        <w:rFonts w:ascii="Courier New" w:hAnsi="Courier New"/>
      </w:rPr>
    </w:lvl>
    <w:lvl w:ilvl="5" w:tplc="4A92E765">
      <w:start w:val="1"/>
      <w:numFmt w:val="bullet"/>
      <w:suff w:val="tab"/>
      <w:lvlText w:val=""/>
      <w:lvlJc w:val="left"/>
      <w:pPr>
        <w:ind w:hanging="360" w:left="4320"/>
        <w:tabs>
          <w:tab w:val="left" w:pos="4320" w:leader="none"/>
        </w:tabs>
      </w:pPr>
      <w:rPr>
        <w:rFonts w:ascii="Wingdings" w:hAnsi="Wingdings"/>
      </w:rPr>
    </w:lvl>
    <w:lvl w:ilvl="6" w:tplc="7D01093A">
      <w:start w:val="1"/>
      <w:numFmt w:val="bullet"/>
      <w:suff w:val="tab"/>
      <w:lvlText w:val=""/>
      <w:lvlJc w:val="left"/>
      <w:pPr>
        <w:ind w:hanging="360" w:left="5040"/>
        <w:tabs>
          <w:tab w:val="left" w:pos="5040" w:leader="none"/>
        </w:tabs>
      </w:pPr>
      <w:rPr>
        <w:rFonts w:ascii="Symbol" w:hAnsi="Symbol"/>
      </w:rPr>
    </w:lvl>
    <w:lvl w:ilvl="7" w:tplc="2F3F9525">
      <w:start w:val="1"/>
      <w:numFmt w:val="bullet"/>
      <w:suff w:val="tab"/>
      <w:lvlText w:val="o"/>
      <w:lvlJc w:val="left"/>
      <w:pPr>
        <w:ind w:hanging="360" w:left="5760"/>
        <w:tabs>
          <w:tab w:val="left" w:pos="5760" w:leader="none"/>
        </w:tabs>
      </w:pPr>
      <w:rPr>
        <w:rFonts w:ascii="Courier New" w:hAnsi="Courier New"/>
      </w:rPr>
    </w:lvl>
    <w:lvl w:ilvl="8" w:tplc="2AB7B9E9">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1E4A76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2011-04-06T20:43:00Z</dcterms:created>
  <cp:lastModifiedBy>Ethan Puglia</cp:lastModifiedBy>
  <cp:lastPrinted>2011-04-08T14:10:00Z</cp:lastPrinted>
  <dcterms:modified xsi:type="dcterms:W3CDTF">2019-03-28T17:34:29Z</dcterms:modified>
  <cp:revision>12</cp:revision>
  <dc:title>PROYECTO DE ORDENANZA VIOLENCIA FAMILIAR</dc:title>
</cp:coreProperties>
</file>