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FBB512" Type="http://schemas.openxmlformats.org/officeDocument/2006/relationships/officeDocument" Target="/word/document.xml" /><Relationship Id="coreR4EFBB5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8848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875/07, iniciado por Herrera Gabriela Isabel;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Herrera Gabriela Isabel solicito a Fs.4, el lote 8 de la Mz. Of. 13, de Bº Parque San Juan, manifestando que tuvo que ocupar el lote porque se encontraba desalojada y en la calle con sus ocho hijos y que el lote se encontraba con malezas, sin alambre y sin materiales, levantando una pieza en el lote con chapas y nylon que le han prestado;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Herrera Gabriela Isabel reúne los requisitos para ser beneficiaria, según consta en el informe socioeconómico obrante a Fs.12 suscrito por la Lic. Flavia Virga, M.P.1722, quien corrobora que la solicitante y el grupo familiar se encuentran ocupando el lote que solicitan;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Sección Catastro, surge que el lote 8 de la Mz. Of. 13, designación catastral 03-01-296-007, de Bº Parque San Juan es ocupado por la solicitante con su grupo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referido informe establece que el lote de referencia pertenece a los donados por los Sucesores del Dr. Juan Félix Caferatta y Otros, al Municipio; y aceptados mediante Ordenanza Nº 6094 y con Ordenanza de Donación Nº 7466 a Sorucco Rodríguez Elisa del año 2006;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intención de este Honorable Concejo Deliberante regularizar las situaciones de hecho, cuando así correspondiere, a fin de evitar ulteriores conflictos judiciales al Municipio;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Legislación General, se resuelve por unanimidad su aprobación, en Sesión Ordinaria del día 13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REVOCA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la Ordenanza Nº 7466 del año 2006.-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donación el lote 8 de la Mz. Of.13, designación catastral 03-01-296-007, de Bº Parque San Juan, a la Sra. Herrera Gabriela Isabel, D.N.I 22.096.569, con la modalidad y los resguardos legales habituales en estos casos.-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beneficiario debe edificar en un plazo máximo de DIECIOCHO (18) meses a partir de la promulgación de la presente Ordenanza, según el correspondiente plano aprobado por las oficinas técnicas correspondientes.-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donación dispuesta en la presente Ordenanza tiene el carácter de intransferible y caducará  de pleno derecho si no se cumplimenta lo prescripto en el Artículo anterior, debiendo el beneficiario restituir el inmueble a la Municipalidad de Alta Gracia y sólo podrá solicitar prórroga para construir si tiene las tasas al día.-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donación es con cargo, debiendo el beneficiario abonar en su totalidad las cargas tributarias que gravan el inmueble, las  contribuciones  por mejoras, desde la fecha de la donación y los gastos de transferencia de dominio. En el supuesto de incumplimiento de esta obligación, la Municipalidad no</w:t>
      </w:r>
    </w:p>
    <w:p>
      <w:pPr>
        <w:ind w:hanging="567"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se hará  cargo en ningún caso de las erogaciones que deban pagar el beneficiario de acuerdo al presente artículo, debiendo abonar y mantener al día desde la fecha de la presente, la Tasa por Servicios a la Propiedad.-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es título hábil de posesión hasta tanto el Departamento Ejecutivo otorgue la correspondiente escritura traslativa de dominio.-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 AUTORÍZASE</w:t>
      </w:r>
      <w:r>
        <w:rPr>
          <w:rStyle w:val="C3"/>
          <w:rFonts w:ascii="Courier New" w:hAnsi="Courier New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suministrado por el Área Municipal de la Vivienda y previa verificación de que posee las tasas al día, siendo los gastos a cargo del beneficiario.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8</w:t>
      </w:r>
      <w:r>
        <w:rPr>
          <w:rStyle w:val="C3"/>
          <w:rFonts w:ascii="Courier New" w:hAnsi="Courier New"/>
          <w:b w:val="1"/>
        </w:rPr>
        <w:t>: EN</w:t>
      </w:r>
      <w:r>
        <w:rPr>
          <w:rStyle w:val="C3"/>
          <w:rFonts w:ascii="Courier New" w:hAnsi="Courier New"/>
        </w:rPr>
        <w:t xml:space="preserve"> todos los casos el donatario debe, a través del área pertinente, dejar expresa constancia de la conformidad del acto y de la renuncia a posteriores reclamos judiciales al Municipio.-</w:t>
      </w:r>
    </w:p>
    <w:p>
      <w:pPr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  <w:b w:val="1"/>
        </w:rPr>
        <w:t>: EL</w:t>
      </w:r>
      <w:r>
        <w:rPr>
          <w:rStyle w:val="C3"/>
          <w:rFonts w:ascii="Courier New" w:hAnsi="Courier New"/>
        </w:rPr>
        <w:t xml:space="preserve"> lote donado debe ser destinado exclusivamente a vivienda familiar del beneficiario y su grupo familiar, siendo intransferible por el término de DIEZ (10) años.-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10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81ED4E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4F627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9F36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482ED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4798A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10B98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5A2A7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3C996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0DE24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BBC44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10A9B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9EADC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D6F41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EEE89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C808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A1CA1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EBDA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0C7A0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27ACFB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02FE4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D120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0B123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1CB77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39099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EDC5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067F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61F3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9479A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2011-04-15T14:05:00Z</dcterms:created>
  <cp:lastModifiedBy>Ethan Puglia</cp:lastModifiedBy>
  <cp:lastPrinted>2011-04-18T10:15:00Z</cp:lastPrinted>
  <dcterms:modified xsi:type="dcterms:W3CDTF">2019-03-28T17:34:29Z</dcterms:modified>
  <cp:revision>10</cp:revision>
  <dc:title>PROYECTO DE ORDENANZA VIOLENCIA FAMILIAR</dc:title>
</cp:coreProperties>
</file>