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CCEE6C" Type="http://schemas.openxmlformats.org/officeDocument/2006/relationships/officeDocument" Target="/word/document.xml" /><Relationship Id="coreR66CCEE6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1017/09;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el Sr. García José Luis solicita plan de pagos de Tasa por Servicios a la Propiedad correspondiente al inmueble Designación Catastral 01-01-211-010, Cta. 00006221;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Relevamiento Socioeconómico y Ambiental efectuado por la Dirección de Desarrollo Humano y Trabajo,  noticia que el grupo familiar  cuenta con  ingresos limitados y la vivienda es de la madre del Sr. García;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peticionante  manifiesta voluntad de pago pero imposibilidad económica para abonar la deuda;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20 de Abril de 2011.-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en sesión extraordinaria de fecha 30 de enero de 2012, se aprueba por … el mismo.-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ESTABLECESE </w:t>
      </w:r>
      <w:r>
        <w:rPr>
          <w:rStyle w:val="C3"/>
          <w:rFonts w:ascii="Courier New" w:hAnsi="Courier New"/>
        </w:rPr>
        <w:t xml:space="preserve">que por cada cuota actual abonada en término de Tasa por Servicios a la Propiedad correspondiente al inmueble Designación Catastral 01-01-211-010, Cta. 00006221, se eximan CINCO (5) cuotas de la deuda no prescripta.-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CONDICIONASE </w:t>
      </w:r>
      <w:r>
        <w:rPr>
          <w:rStyle w:val="C3"/>
          <w:rFonts w:ascii="Courier New" w:hAnsi="Courier New"/>
        </w:rPr>
        <w:t>que la falta de pago de TRES (3) cuotas consecutivas o alternadas, así como la transferencia o cambio de titularidad del inmueble, hará caducar automáticamente el beneficio otorgado.-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derechos  y tasa de justicia a tales fines.-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392179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414CC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D2C3E2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B107D0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E320C5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2E4C72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DBF9B2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EDECC6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435F3F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70AC32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03D312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6A254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898EE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6DA3E3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305AB3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D15F8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F42A6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A425A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7EA998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500FC5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33D9E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6EC794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C757D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92AF55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98E9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95DDDA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2EA87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C4F522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2011-04-26T12:23:00Z</dcterms:created>
  <cp:lastModifiedBy>Ethan Puglia</cp:lastModifiedBy>
  <cp:lastPrinted>2011-06-03T13:43:00Z</cp:lastPrinted>
  <dcterms:modified xsi:type="dcterms:W3CDTF">2019-03-28T17:34:29Z</dcterms:modified>
  <cp:revision>16</cp:revision>
  <dc:title>PROYECTO DE ORDENANZA VIOLENCIA FAMILIAR</dc:title>
</cp:coreProperties>
</file>