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1C7345" Type="http://schemas.openxmlformats.org/officeDocument/2006/relationships/officeDocument" Target="/word/document.xml" /><Relationship Id="coreR4A1C734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8855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8731 mediante la cual se crea la Empresa Estatal de Economía Mixta Alta Gracia Gas S.A 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revisado el Estatuto de la Empresa Alta Gracia Gas S.A se hace necesario modificar un Artículo, en cuanto a la designación del Gerente General que corresponde a la Cooperativa de Usuarios, accionista clase B de la sociedad anónima;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 se decide por unanimidad su aprobación en Sesión Ordinaria del día 20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MODIFICASE </w:t>
      </w:r>
      <w:r>
        <w:rPr>
          <w:rStyle w:val="C3"/>
          <w:rFonts w:ascii="Courier New" w:hAnsi="Courier New"/>
        </w:rPr>
        <w:t>el Art.9º del Anexo de la Ordenanza Nº 8731, Estatuto de Alta Gracia Gas S.A el que quedará redactado de la siguiente manera: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i w:val="1"/>
        </w:rPr>
      </w:pP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i w:val="1"/>
        </w:rPr>
        <w:t>GERENTE GENERAL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i w:val="1"/>
        </w:rPr>
        <w:tab/>
      </w:r>
      <w:r>
        <w:rPr>
          <w:rStyle w:val="C3"/>
          <w:rFonts w:ascii="Courier New" w:hAnsi="Courier New"/>
          <w:b w:val="1"/>
          <w:u w:val="single"/>
        </w:rPr>
        <w:t>Art.9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Directorio designará un Gerente General a propuesta de los accionistas Clase B.-</w:t>
      </w:r>
    </w:p>
    <w:p>
      <w:pPr>
        <w:ind w:hanging="426" w:left="426"/>
        <w:jc w:val="both"/>
        <w:rPr>
          <w:rStyle w:val="C3"/>
          <w:rFonts w:ascii="Courier New" w:hAnsi="Courier New"/>
          <w:i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779F4F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0149C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277935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4D42EA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6B61EA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170490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918DE6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926352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D8907F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C62BD8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19F49D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44CB2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7885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4519D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2A7906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06C3D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0ED80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CD744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CC50D8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38C3C9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92A91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E5727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1EBD2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175E18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F5D26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4C2FD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70537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C646F1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2011-04-27T12:08:00Z</dcterms:created>
  <cp:lastModifiedBy>Ethan Puglia</cp:lastModifiedBy>
  <cp:lastPrinted>2011-05-03T13:01:00Z</cp:lastPrinted>
  <dcterms:modified xsi:type="dcterms:W3CDTF">2019-03-28T17:34:29Z</dcterms:modified>
  <cp:revision>6</cp:revision>
  <dc:title>PROYECTO DE ORDENANZA VIOLENCIA FAMILIAR</dc:title>
</cp:coreProperties>
</file>