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FF94DB" Type="http://schemas.openxmlformats.org/officeDocument/2006/relationships/officeDocument" Target="/word/document.xml" /><Relationship Id="coreR1EFF94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8861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escala salarial de los trabajadores municipales;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obligación muy importante e ineludible, que es responder ante la ciudadanía de Alta Gracia prestando los servicios por los cuales ésta tributa;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siguiendo esta tesitura se arribó a un acuerdo con el SI.TRA.M.A.G. con el fin de incorporar un incremento salarial al sueldo básico de todo el personal comprendido en la Ordenanza Nº 2147/89 y Decreto 208/91 y sus modificatorias “Estatuto y Reglamento del Empleado Municipal”, de PESOS DOSCIENTOS ($200,oo) para el mes de Julio de 2011, aplicando el Anexo I de la mencionada normativa;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caso que la situación económica de la Municipalidad no permita afrontar el pago de haberes con 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este incremento, ambas partes se comprometen a sentarse en una mesa de diálogo para evaluar la forma de pago. En el caso particular del SITRAMAG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en Comisión, se resuelve su aprobación en general por unanimidad y en particular por Mayoría en Sesión Ordinaria del día 27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</w:rPr>
        <w:t xml:space="preserve"> un incremento de haberes de PESOS DOSCIENTOS ($200,oo) para el período Julio de 2011, a todo el personal bajo el ámbito de aplicación de la Ordenanza Nº 2147/89 y Decreto 208/91 y sus modificatorias “Estatuto y Reglamento del Empleado Municipal, que se incorporará al sueldo básico aplicando el Anexo I de la mencionada normativa, y respetando los códigos de liquidación, para el caso de los agentes comprendidos en el Art.4, inciso c).- 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601E098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0A2371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46063A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9B83D6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D94008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6F3EFA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C8B8C4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357F2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4930A7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59F73DA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5759BE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A7142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D9DA5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09A6BF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EBFB4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6DC1E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0A72D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6EFEF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0D5D7C99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5DFB4125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5E94C2FF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3E994CDB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752EA5D4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57064E00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4127A0DF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404D7151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422262F2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4BB3A38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3FCB7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AEECC4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D23154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37778C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0D6815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D8B01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7C3CA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ACD2C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57A1737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2011-04-28T15:00:00Z</dcterms:created>
  <cp:lastModifiedBy>Ethan Puglia</cp:lastModifiedBy>
  <cp:lastPrinted>2011-04-28T14:57:00Z</cp:lastPrinted>
  <dcterms:modified xsi:type="dcterms:W3CDTF">2019-03-28T17:34:29Z</dcterms:modified>
  <cp:revision>7</cp:revision>
  <dc:title>PROYECTO DE ORDENANZA VIOLENCIA FAMILIAR</dc:title>
</cp:coreProperties>
</file>