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F1F6C2" Type="http://schemas.openxmlformats.org/officeDocument/2006/relationships/officeDocument" Target="/word/document.xml" /><Relationship Id="coreR20F1F6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8882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148/11, iniciado por Barranco Carina M. y Sosa, Mónica A. - Previa; y </w:t>
      </w:r>
    </w:p>
    <w:p>
      <w:pPr>
        <w:tabs>
          <w:tab w:val="left" w:pos="3165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autorización para realizar modificaciones en el inmueble Designación Catastral 1-1-101-09 ubicado en calle Dino Carignani Nº 164 de Barrio Norte de nuestra Ciudad, el cual es alquilado por el Sanatorio Alta Gracia, de acuerdo a contrato de locación;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 informe del Área Planeamiento a Fs.3 vta. debe consignar FOT (Factor de Ocupación del Terreno) y FOS (Factor de Ocupación del Suelo) y no posee Estacionamientos;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nota de los interesados, con aclaración de los Factores en cuestión;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reunida la Comisión de Obras y Servicios Públicos con la profesional actuante, se observa la gran inversión  a  realizar  por  esta  Institución  de Salud Privada de nuestro medio, la cual vendría a paliar en parte las necesidades del rubro en Alta Gracia, teniendo en cuenta que al ser precisamente una Institución relacionada con la salud (Pública o Privada) el beneficio, al llevar adelante estas inversiones, es para gran parte de la Ciudadanía;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de referencia por la Comisión de Obras y Servicios Públicos, la misma emite despacho autorizando lo solicitado, aprobado por unanimidad en Sesión Ordinaria del día 11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</w:pPr>
      <w: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AUTORIZASE </w:t>
      </w:r>
      <w:r>
        <w:rPr>
          <w:rStyle w:val="C3"/>
          <w:rFonts w:ascii="Courier New" w:hAnsi="Courier New"/>
        </w:rPr>
        <w:t xml:space="preserve">al Sanatorio Alta Gracia a realizar las modificaciones edilicias en el inmueble Designación Catastral  1-1-101-09, ubicado en calle Dino Carignani Nº 164 de Barrio Norte de nuestra Ciudad, sin el cumplimiento del Art. 190, inc. 4 (Ocupación del Suelo) de la Ordenanza Nº 8547 (POUT). Con respecto a los estacionamientos se deberá considerar lo establecido en los Arts. Nº 113 y 114 de la misma Ordenanza, para lo cual tendrá intervención el OTA (Órgano Técnico de Aplicación). Se transcriben dichos Artículos a los fines ilustrativos:</w:t>
      </w: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Art.113</w:t>
      </w:r>
      <w:r>
        <w:rPr>
          <w:rStyle w:val="C3"/>
          <w:rFonts w:ascii="Courier New" w:hAnsi="Courier New"/>
        </w:rPr>
        <w:t xml:space="preserve">: SE considera Uso No Conforme a todo uso de un edificio o parte de él o de terreno, habilitado por autoridad competente, que con la puesta en vigencia del presente Código no pueda encuadrarse en el mismo como Uso Permitido porque no cumple con todas las limitaciones  y  requisitos  establecidos por las normas específicas que regulan la actividad. Se regirá por lo establecido en las Disposiciones Orgánicas y Procedimentales.-</w:t>
      </w: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Art.114</w:t>
      </w:r>
      <w:r>
        <w:rPr>
          <w:rStyle w:val="C3"/>
          <w:rFonts w:ascii="Courier New" w:hAnsi="Courier New"/>
        </w:rPr>
        <w:t xml:space="preserve">: SE consideran Usos Tolerados a aquellos </w:t>
      </w:r>
      <w:r>
        <w:rPr>
          <w:rStyle w:val="C3"/>
          <w:rFonts w:ascii="Courier New" w:hAnsi="Courier New"/>
          <w:i w:val="1"/>
        </w:rPr>
        <w:t>usos no conformes</w:t>
      </w:r>
      <w:r>
        <w:rPr>
          <w:rStyle w:val="C3"/>
          <w:rFonts w:ascii="Courier New" w:hAnsi="Courier New"/>
        </w:rPr>
        <w:t xml:space="preserve"> existentes con anterioridad a la entrada en vigencia de la presente norma, habilitados por autoridad competente, que no pueden encuadrarse en la presente como Usos Permitidos porque no cumplen con todas las limitaciones y requisitos establecidos por las normas específicas que regulan la actividad, y que no obstante ello, se admite su permanencia porque no producen un impacto negativo inadmisible en la zona en la que se ubican. El OTA y la Comisión Asesora del Código Urbanístico y del Código Edificación serán los que determinen en cada caso, qué usos no conformes pueden considerarse como usos tolerados.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374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>Toda solicitud de reforma de los Usos considerados Tolerados deberá ser evaluada por el ÓRGANO TÉCNICO DE APLICACIÓN, pudiendo accederse a lo peticionado, cuando tal reforma tenga por finalidad una mejora ambiental o tecnológica.-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1796410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C690DF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E3FD9A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4C4530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9EE5C7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870C6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CF454F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CC62AD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68DAF0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312245D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F23957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207BC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90C690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B994EA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51C0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5FABEC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77040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CB4B6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2BFC1560"/>
    <w:multiLevelType w:val="hybridMultilevel"/>
    <w:lvl w:ilvl="0" w:tplc="21A1E367">
      <w:start w:val="1"/>
      <w:numFmt w:val="bullet"/>
      <w:suff w:val="tab"/>
      <w:lvlText w:val=""/>
      <w:lvlJc w:val="left"/>
      <w:pPr>
        <w:ind w:hanging="360" w:left="1320"/>
        <w:tabs>
          <w:tab w:val="left" w:pos="1320" w:leader="none"/>
        </w:tabs>
      </w:pPr>
      <w:rPr>
        <w:rFonts w:ascii="Symbol" w:hAnsi="Symbol"/>
      </w:rPr>
    </w:lvl>
    <w:lvl w:ilvl="1" w:tplc="5A9AD532">
      <w:start w:val="1"/>
      <w:numFmt w:val="bullet"/>
      <w:suff w:val="tab"/>
      <w:lvlText w:val="o"/>
      <w:lvlJc w:val="left"/>
      <w:pPr>
        <w:ind w:hanging="360" w:left="2040"/>
        <w:tabs>
          <w:tab w:val="left" w:pos="2040" w:leader="none"/>
        </w:tabs>
      </w:pPr>
      <w:rPr>
        <w:rFonts w:ascii="Courier New" w:hAnsi="Courier New"/>
      </w:rPr>
    </w:lvl>
    <w:lvl w:ilvl="2" w:tplc="4D16588F">
      <w:start w:val="1"/>
      <w:numFmt w:val="bullet"/>
      <w:suff w:val="tab"/>
      <w:lvlText w:val=""/>
      <w:lvlJc w:val="left"/>
      <w:pPr>
        <w:ind w:hanging="360" w:left="2760"/>
        <w:tabs>
          <w:tab w:val="left" w:pos="2760" w:leader="none"/>
        </w:tabs>
      </w:pPr>
      <w:rPr>
        <w:rFonts w:ascii="Wingdings" w:hAnsi="Wingdings"/>
      </w:rPr>
    </w:lvl>
    <w:lvl w:ilvl="3" w:tplc="43E7FA68">
      <w:start w:val="1"/>
      <w:numFmt w:val="bullet"/>
      <w:suff w:val="tab"/>
      <w:lvlText w:val=""/>
      <w:lvlJc w:val="left"/>
      <w:pPr>
        <w:ind w:hanging="360" w:left="3480"/>
        <w:tabs>
          <w:tab w:val="left" w:pos="3480" w:leader="none"/>
        </w:tabs>
      </w:pPr>
      <w:rPr>
        <w:rFonts w:ascii="Symbol" w:hAnsi="Symbol"/>
      </w:rPr>
    </w:lvl>
    <w:lvl w:ilvl="4" w:tplc="2EE49753">
      <w:start w:val="1"/>
      <w:numFmt w:val="bullet"/>
      <w:suff w:val="tab"/>
      <w:lvlText w:val="o"/>
      <w:lvlJc w:val="left"/>
      <w:pPr>
        <w:ind w:hanging="360" w:left="4200"/>
        <w:tabs>
          <w:tab w:val="left" w:pos="4200" w:leader="none"/>
        </w:tabs>
      </w:pPr>
      <w:rPr>
        <w:rFonts w:ascii="Courier New" w:hAnsi="Courier New"/>
      </w:rPr>
    </w:lvl>
    <w:lvl w:ilvl="5" w:tplc="275D90EA">
      <w:start w:val="1"/>
      <w:numFmt w:val="bullet"/>
      <w:suff w:val="tab"/>
      <w:lvlText w:val=""/>
      <w:lvlJc w:val="left"/>
      <w:pPr>
        <w:ind w:hanging="360" w:left="4920"/>
        <w:tabs>
          <w:tab w:val="left" w:pos="4920" w:leader="none"/>
        </w:tabs>
      </w:pPr>
      <w:rPr>
        <w:rFonts w:ascii="Wingdings" w:hAnsi="Wingdings"/>
      </w:rPr>
    </w:lvl>
    <w:lvl w:ilvl="6" w:tplc="6C459B76">
      <w:start w:val="1"/>
      <w:numFmt w:val="bullet"/>
      <w:suff w:val="tab"/>
      <w:lvlText w:val=""/>
      <w:lvlJc w:val="left"/>
      <w:pPr>
        <w:ind w:hanging="360" w:left="5640"/>
        <w:tabs>
          <w:tab w:val="left" w:pos="5640" w:leader="none"/>
        </w:tabs>
      </w:pPr>
      <w:rPr>
        <w:rFonts w:ascii="Symbol" w:hAnsi="Symbol"/>
      </w:rPr>
    </w:lvl>
    <w:lvl w:ilvl="7" w:tplc="514C5BCB">
      <w:start w:val="1"/>
      <w:numFmt w:val="bullet"/>
      <w:suff w:val="tab"/>
      <w:lvlText w:val="o"/>
      <w:lvlJc w:val="left"/>
      <w:pPr>
        <w:ind w:hanging="360" w:left="6360"/>
        <w:tabs>
          <w:tab w:val="left" w:pos="6360" w:leader="none"/>
        </w:tabs>
      </w:pPr>
      <w:rPr>
        <w:rFonts w:ascii="Courier New" w:hAnsi="Courier New"/>
      </w:rPr>
    </w:lvl>
    <w:lvl w:ilvl="8" w:tplc="7E5AF58E">
      <w:start w:val="1"/>
      <w:numFmt w:val="bullet"/>
      <w:suff w:val="tab"/>
      <w:lvlText w:val=""/>
      <w:lvlJc w:val="left"/>
      <w:pPr>
        <w:ind w:hanging="360" w:left="7080"/>
        <w:tabs>
          <w:tab w:val="left" w:pos="7080" w:leader="none"/>
        </w:tabs>
      </w:pPr>
      <w:rPr>
        <w:rFonts w:ascii="Wingdings" w:hAnsi="Wingdings"/>
      </w:rPr>
    </w:lvl>
  </w:abstractNum>
  <w:abstractNum w:abstractNumId="16">
    <w:nsid w:val="311119F1"/>
    <w:multiLevelType w:val="hybridMultilevel"/>
    <w:lvl w:ilvl="0" w:tplc="6B071603">
      <w:start w:val="1"/>
      <w:numFmt w:val="bullet"/>
      <w:suff w:val="tab"/>
      <w:lvlText w:val=""/>
      <w:lvlJc w:val="left"/>
      <w:pPr>
        <w:ind w:hanging="360" w:left="1320"/>
        <w:tabs>
          <w:tab w:val="left" w:pos="1320" w:leader="none"/>
        </w:tabs>
      </w:pPr>
      <w:rPr>
        <w:rFonts w:ascii="Symbol" w:hAnsi="Symbol"/>
      </w:rPr>
    </w:lvl>
    <w:lvl w:ilvl="1" w:tplc="0AD1E390">
      <w:start w:val="1"/>
      <w:numFmt w:val="bullet"/>
      <w:suff w:val="tab"/>
      <w:lvlText w:val="o"/>
      <w:lvlJc w:val="left"/>
      <w:pPr>
        <w:ind w:hanging="360" w:left="2040"/>
        <w:tabs>
          <w:tab w:val="left" w:pos="2040" w:leader="none"/>
        </w:tabs>
      </w:pPr>
      <w:rPr>
        <w:rFonts w:ascii="Courier New" w:hAnsi="Courier New"/>
      </w:rPr>
    </w:lvl>
    <w:lvl w:ilvl="2" w:tplc="74405BBA">
      <w:start w:val="1"/>
      <w:numFmt w:val="bullet"/>
      <w:suff w:val="tab"/>
      <w:lvlText w:val=""/>
      <w:lvlJc w:val="left"/>
      <w:pPr>
        <w:ind w:hanging="360" w:left="2760"/>
        <w:tabs>
          <w:tab w:val="left" w:pos="2760" w:leader="none"/>
        </w:tabs>
      </w:pPr>
      <w:rPr>
        <w:rFonts w:ascii="Wingdings" w:hAnsi="Wingdings"/>
      </w:rPr>
    </w:lvl>
    <w:lvl w:ilvl="3" w:tplc="0BE37126">
      <w:start w:val="1"/>
      <w:numFmt w:val="bullet"/>
      <w:suff w:val="tab"/>
      <w:lvlText w:val=""/>
      <w:lvlJc w:val="left"/>
      <w:pPr>
        <w:ind w:hanging="360" w:left="3480"/>
        <w:tabs>
          <w:tab w:val="left" w:pos="3480" w:leader="none"/>
        </w:tabs>
      </w:pPr>
      <w:rPr>
        <w:rFonts w:ascii="Symbol" w:hAnsi="Symbol"/>
      </w:rPr>
    </w:lvl>
    <w:lvl w:ilvl="4" w:tplc="38BB0FBE">
      <w:start w:val="1"/>
      <w:numFmt w:val="bullet"/>
      <w:suff w:val="tab"/>
      <w:lvlText w:val="o"/>
      <w:lvlJc w:val="left"/>
      <w:pPr>
        <w:ind w:hanging="360" w:left="4200"/>
        <w:tabs>
          <w:tab w:val="left" w:pos="4200" w:leader="none"/>
        </w:tabs>
      </w:pPr>
      <w:rPr>
        <w:rFonts w:ascii="Courier New" w:hAnsi="Courier New"/>
      </w:rPr>
    </w:lvl>
    <w:lvl w:ilvl="5" w:tplc="5E48CA3F">
      <w:start w:val="1"/>
      <w:numFmt w:val="bullet"/>
      <w:suff w:val="tab"/>
      <w:lvlText w:val=""/>
      <w:lvlJc w:val="left"/>
      <w:pPr>
        <w:ind w:hanging="360" w:left="4920"/>
        <w:tabs>
          <w:tab w:val="left" w:pos="4920" w:leader="none"/>
        </w:tabs>
      </w:pPr>
      <w:rPr>
        <w:rFonts w:ascii="Wingdings" w:hAnsi="Wingdings"/>
      </w:rPr>
    </w:lvl>
    <w:lvl w:ilvl="6" w:tplc="6E5738BC">
      <w:start w:val="1"/>
      <w:numFmt w:val="bullet"/>
      <w:suff w:val="tab"/>
      <w:lvlText w:val=""/>
      <w:lvlJc w:val="left"/>
      <w:pPr>
        <w:ind w:hanging="360" w:left="5640"/>
        <w:tabs>
          <w:tab w:val="left" w:pos="5640" w:leader="none"/>
        </w:tabs>
      </w:pPr>
      <w:rPr>
        <w:rFonts w:ascii="Symbol" w:hAnsi="Symbol"/>
      </w:rPr>
    </w:lvl>
    <w:lvl w:ilvl="7" w:tplc="3BF2BD6E">
      <w:start w:val="1"/>
      <w:numFmt w:val="bullet"/>
      <w:suff w:val="tab"/>
      <w:lvlText w:val="o"/>
      <w:lvlJc w:val="left"/>
      <w:pPr>
        <w:ind w:hanging="360" w:left="6360"/>
        <w:tabs>
          <w:tab w:val="left" w:pos="6360" w:leader="none"/>
        </w:tabs>
      </w:pPr>
      <w:rPr>
        <w:rFonts w:ascii="Courier New" w:hAnsi="Courier New"/>
      </w:rPr>
    </w:lvl>
    <w:lvl w:ilvl="8" w:tplc="3D851A90">
      <w:start w:val="1"/>
      <w:numFmt w:val="bullet"/>
      <w:suff w:val="tab"/>
      <w:lvlText w:val=""/>
      <w:lvlJc w:val="left"/>
      <w:pPr>
        <w:ind w:hanging="360" w:left="7080"/>
        <w:tabs>
          <w:tab w:val="left" w:pos="7080" w:leader="none"/>
        </w:tabs>
      </w:pPr>
      <w:rPr>
        <w:rFonts w:ascii="Wingdings" w:hAnsi="Wingdings"/>
      </w:rPr>
    </w:lvl>
  </w:abstractNum>
  <w:abstractNum w:abstractNumId="17">
    <w:nsid w:val="338369BA"/>
    <w:multiLevelType w:val="hybridMultilevel"/>
    <w:lvl w:ilvl="0" w:tplc="6FE715F8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3D724114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1821814D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0B835C0E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72573B15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2F0F10F2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137EA529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4EEB1DF9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7D2B3FC6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A700CB9"/>
    <w:multiLevelType w:val="hybridMultilevel"/>
    <w:lvl w:ilvl="0" w:tplc="6DDE194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91F0E1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D22AC9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D7A218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B40C9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44E29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1C6F08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B3515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D8B71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1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2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4">
    <w:nsid w:val="5A042302"/>
    <w:multiLevelType w:val="hybridMultilevel"/>
    <w:lvl w:ilvl="0" w:tplc="65DCE41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3"/>
  </w:num>
  <w:num w:numId="2">
    <w:abstractNumId w:val="10"/>
  </w:num>
  <w:num w:numId="3">
    <w:abstractNumId w:val="14"/>
  </w:num>
  <w:num w:numId="4">
    <w:abstractNumId w:val="27"/>
  </w:num>
  <w:num w:numId="5">
    <w:abstractNumId w:val="31"/>
  </w:num>
  <w:num w:numId="6">
    <w:abstractNumId w:val="8"/>
  </w:num>
  <w:num w:numId="7">
    <w:abstractNumId w:val="25"/>
  </w:num>
  <w:num w:numId="8">
    <w:abstractNumId w:val="4"/>
  </w:num>
  <w:num w:numId="9">
    <w:abstractNumId w:val="7"/>
  </w:num>
  <w:num w:numId="10">
    <w:abstractNumId w:val="9"/>
  </w:num>
  <w:num w:numId="11">
    <w:abstractNumId w:val="21"/>
  </w:num>
  <w:num w:numId="12">
    <w:abstractNumId w:val="22"/>
  </w:num>
  <w:num w:numId="13">
    <w:abstractNumId w:val="35"/>
  </w:num>
  <w:num w:numId="14">
    <w:abstractNumId w:val="30"/>
  </w:num>
  <w:num w:numId="15">
    <w:abstractNumId w:val="29"/>
  </w:num>
  <w:num w:numId="16">
    <w:abstractNumId w:val="19"/>
  </w:num>
  <w:num w:numId="17">
    <w:abstractNumId w:val="20"/>
  </w:num>
  <w:num w:numId="18">
    <w:abstractNumId w:val="32"/>
  </w:num>
  <w:num w:numId="19">
    <w:abstractNumId w:val="11"/>
  </w:num>
  <w:num w:numId="20">
    <w:abstractNumId w:val="5"/>
  </w:num>
  <w:num w:numId="21">
    <w:abstractNumId w:val="1"/>
  </w:num>
  <w:num w:numId="22">
    <w:abstractNumId w:val="24"/>
  </w:num>
  <w:num w:numId="23">
    <w:abstractNumId w:val="33"/>
  </w:num>
  <w:num w:numId="24">
    <w:abstractNumId w:val="28"/>
  </w:num>
  <w:num w:numId="25">
    <w:abstractNumId w:val="12"/>
  </w:num>
  <w:num w:numId="26">
    <w:abstractNumId w:val="34"/>
  </w:num>
  <w:num w:numId="27">
    <w:abstractNumId w:val="3"/>
  </w:num>
  <w:num w:numId="28">
    <w:abstractNumId w:val="26"/>
  </w:num>
  <w:num w:numId="29">
    <w:abstractNumId w:val="6"/>
  </w:num>
  <w:num w:numId="30">
    <w:abstractNumId w:val="18"/>
  </w:num>
  <w:num w:numId="31">
    <w:abstractNumId w:val="0"/>
  </w:num>
  <w:num w:numId="32">
    <w:abstractNumId w:val="13"/>
  </w:num>
  <w:num w:numId="33">
    <w:abstractNumId w:val="2"/>
  </w:num>
  <w:num w:numId="34">
    <w:abstractNumId w:val="17"/>
  </w:num>
  <w:num w:numId="35">
    <w:abstractNumId w:val="16"/>
  </w:num>
  <w:num w:numId="36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2011-05-12T13:27:00Z</dcterms:created>
  <cp:lastModifiedBy>Ethan Puglia</cp:lastModifiedBy>
  <cp:lastPrinted>2011-05-12T13:38:00Z</cp:lastPrinted>
  <dcterms:modified xsi:type="dcterms:W3CDTF">2019-03-28T17:34:30Z</dcterms:modified>
  <cp:revision>7</cp:revision>
  <dc:title>PROYECTO DE ORDENANZA VIOLENCIA FAMILIAR</dc:title>
</cp:coreProperties>
</file>