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EF9EB1E" Type="http://schemas.openxmlformats.org/officeDocument/2006/relationships/officeDocument" Target="/word/document.xml" /><Relationship Id="coreR1EF9EB1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8894</w:t>
      </w:r>
    </w:p>
    <w:p/>
    <w:p/>
    <w:p>
      <w:pPr>
        <w:ind w:hanging="426" w:left="426"/>
        <w:jc w:val="both"/>
        <w:rPr>
          <w:rStyle w:val="C3"/>
          <w:rFonts w:ascii="Courier New" w:hAnsi="Courier New"/>
        </w:rPr>
      </w:pPr>
      <w:r>
        <w:rPr>
          <w:rStyle w:val="C3"/>
          <w:rFonts w:ascii="Courier New" w:hAnsi="Courier New"/>
        </w:rPr>
        <w:t xml:space="preserve">Visto: El Expediente Nº 785/09; y </w:t>
      </w: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a través del mismo, el Sr. Martínez Hernán, D.N.I 25.756.051 con domicilio en Calle Achával Rodríguez Nº 109, de nuestra Ciudad, solicita  plan de pagos de la deuda que por Tasa por Servicios a la Propiedad  mantiene el Inmueble Designación Catastral 01-01-121-021 Cta. 00028782;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Fs.11/12 se adjunta estado de deuda;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Relevamiento Socioeconómico y Ambiental (Fs.8) evalúa que se trata de una vivienda a nombre del peticionante en Régimen de Propiedad Horizontal, pero cuyo padre tiene usufructo de por vida, siendo este jubilado con haber mínimo;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Trabajadora Social Licenciada MP 1722 sugiere plan de pagos mínimo acorde a las posibilidades del peticionante;</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18 de Mayo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al Departamento Ejecutivo a otorgar al Sr. Martínez Hernán, D.N.I 25.756.051 con domicilio en calle Achával Rodríguez Nº 109, plan de pagos en cuotas a valores históricos sin intereses ni actualización acorde a sus posibilidades de la deuda que  por Tasa por Servicios a la Propiedad mantiene con la Municipalidad de Alta Gracia a la fecha de promulgación de la presente,  el Inmueble Designación Catastral 01-01-121-021 Cta.00028782.-</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 xml:space="preserve">CONDICIONASE </w:t>
      </w:r>
      <w:r>
        <w:rPr>
          <w:rStyle w:val="C3"/>
          <w:rFonts w:ascii="Courier New" w:hAnsi="Courier New"/>
        </w:rPr>
        <w:t>que la falta de pago de TRES (3) cuotas consecutivas o alternadas, de la cuota a fijar en el precepto anterior, y/o de las cuotas actuales, como así mismo la transferencia o cambio de titularidad del inmueble, hará caducar automáticamente el beneficio otorgado.-</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DIECIOCHO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10769284">
      <w:start w:val="0"/>
      <w:numFmt w:val="bullet"/>
      <w:suff w:val="tab"/>
      <w:lvlText w:val=""/>
      <w:lvlJc w:val="left"/>
      <w:pPr>
        <w:ind w:hanging="360" w:left="927"/>
      </w:pPr>
      <w:rPr>
        <w:rFonts w:ascii="Symbol" w:hAnsi="Symbol"/>
      </w:rPr>
    </w:lvl>
    <w:lvl w:ilvl="1" w:tplc="6AD131E5">
      <w:start w:val="1"/>
      <w:numFmt w:val="bullet"/>
      <w:suff w:val="tab"/>
      <w:lvlText w:val="o"/>
      <w:lvlJc w:val="left"/>
      <w:pPr>
        <w:ind w:hanging="360" w:left="1647"/>
      </w:pPr>
      <w:rPr>
        <w:rFonts w:ascii="Courier New" w:hAnsi="Courier New"/>
      </w:rPr>
    </w:lvl>
    <w:lvl w:ilvl="2" w:tplc="12DBA428">
      <w:start w:val="1"/>
      <w:numFmt w:val="bullet"/>
      <w:suff w:val="tab"/>
      <w:lvlText w:val=""/>
      <w:lvlJc w:val="left"/>
      <w:pPr>
        <w:ind w:hanging="360" w:left="2367"/>
      </w:pPr>
      <w:rPr>
        <w:rFonts w:ascii="Wingdings" w:hAnsi="Wingdings"/>
      </w:rPr>
    </w:lvl>
    <w:lvl w:ilvl="3" w:tplc="3DA22279">
      <w:start w:val="1"/>
      <w:numFmt w:val="bullet"/>
      <w:suff w:val="tab"/>
      <w:lvlText w:val=""/>
      <w:lvlJc w:val="left"/>
      <w:pPr>
        <w:ind w:hanging="360" w:left="3087"/>
      </w:pPr>
      <w:rPr>
        <w:rFonts w:ascii="Symbol" w:hAnsi="Symbol"/>
      </w:rPr>
    </w:lvl>
    <w:lvl w:ilvl="4" w:tplc="753AED40">
      <w:start w:val="1"/>
      <w:numFmt w:val="bullet"/>
      <w:suff w:val="tab"/>
      <w:lvlText w:val="o"/>
      <w:lvlJc w:val="left"/>
      <w:pPr>
        <w:ind w:hanging="360" w:left="3807"/>
      </w:pPr>
      <w:rPr>
        <w:rFonts w:ascii="Courier New" w:hAnsi="Courier New"/>
      </w:rPr>
    </w:lvl>
    <w:lvl w:ilvl="5" w:tplc="5006D8E9">
      <w:start w:val="1"/>
      <w:numFmt w:val="bullet"/>
      <w:suff w:val="tab"/>
      <w:lvlText w:val=""/>
      <w:lvlJc w:val="left"/>
      <w:pPr>
        <w:ind w:hanging="360" w:left="4527"/>
      </w:pPr>
      <w:rPr>
        <w:rFonts w:ascii="Wingdings" w:hAnsi="Wingdings"/>
      </w:rPr>
    </w:lvl>
    <w:lvl w:ilvl="6" w:tplc="6165039E">
      <w:start w:val="1"/>
      <w:numFmt w:val="bullet"/>
      <w:suff w:val="tab"/>
      <w:lvlText w:val=""/>
      <w:lvlJc w:val="left"/>
      <w:pPr>
        <w:ind w:hanging="360" w:left="5247"/>
      </w:pPr>
      <w:rPr>
        <w:rFonts w:ascii="Symbol" w:hAnsi="Symbol"/>
      </w:rPr>
    </w:lvl>
    <w:lvl w:ilvl="7" w:tplc="3B82CFB1">
      <w:start w:val="1"/>
      <w:numFmt w:val="bullet"/>
      <w:suff w:val="tab"/>
      <w:lvlText w:val="o"/>
      <w:lvlJc w:val="left"/>
      <w:pPr>
        <w:ind w:hanging="360" w:left="5967"/>
      </w:pPr>
      <w:rPr>
        <w:rFonts w:ascii="Courier New" w:hAnsi="Courier New"/>
      </w:rPr>
    </w:lvl>
    <w:lvl w:ilvl="8" w:tplc="1A0B0571">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6320FCFF">
      <w:start w:val="0"/>
      <w:numFmt w:val="bullet"/>
      <w:suff w:val="tab"/>
      <w:lvlText w:val="-"/>
      <w:lvlJc w:val="left"/>
      <w:pPr>
        <w:ind w:hanging="360" w:left="720"/>
        <w:tabs>
          <w:tab w:val="left" w:pos="720" w:leader="none"/>
        </w:tabs>
      </w:pPr>
      <w:rPr>
        <w:rFonts w:ascii="Times New Roman" w:hAnsi="Times New Roman"/>
      </w:rPr>
    </w:lvl>
    <w:lvl w:ilvl="1" w:tplc="076EFA47">
      <w:start w:val="1"/>
      <w:numFmt w:val="bullet"/>
      <w:suff w:val="tab"/>
      <w:lvlText w:val="o"/>
      <w:lvlJc w:val="left"/>
      <w:pPr>
        <w:ind w:hanging="360" w:left="1440"/>
        <w:tabs>
          <w:tab w:val="left" w:pos="1440" w:leader="none"/>
        </w:tabs>
      </w:pPr>
      <w:rPr>
        <w:rFonts w:ascii="Courier New" w:hAnsi="Courier New"/>
      </w:rPr>
    </w:lvl>
    <w:lvl w:ilvl="2" w:tplc="08032221">
      <w:start w:val="1"/>
      <w:numFmt w:val="bullet"/>
      <w:suff w:val="tab"/>
      <w:lvlText w:val=""/>
      <w:lvlJc w:val="left"/>
      <w:pPr>
        <w:ind w:hanging="360" w:left="2160"/>
        <w:tabs>
          <w:tab w:val="left" w:pos="2160" w:leader="none"/>
        </w:tabs>
      </w:pPr>
      <w:rPr>
        <w:rFonts w:ascii="Wingdings" w:hAnsi="Wingdings"/>
      </w:rPr>
    </w:lvl>
    <w:lvl w:ilvl="3" w:tplc="49BDAE5E">
      <w:start w:val="1"/>
      <w:numFmt w:val="bullet"/>
      <w:suff w:val="tab"/>
      <w:lvlText w:val=""/>
      <w:lvlJc w:val="left"/>
      <w:pPr>
        <w:ind w:hanging="360" w:left="2880"/>
        <w:tabs>
          <w:tab w:val="left" w:pos="2880" w:leader="none"/>
        </w:tabs>
      </w:pPr>
      <w:rPr>
        <w:rFonts w:ascii="Symbol" w:hAnsi="Symbol"/>
      </w:rPr>
    </w:lvl>
    <w:lvl w:ilvl="4" w:tplc="10931DB9">
      <w:start w:val="1"/>
      <w:numFmt w:val="bullet"/>
      <w:suff w:val="tab"/>
      <w:lvlText w:val="o"/>
      <w:lvlJc w:val="left"/>
      <w:pPr>
        <w:ind w:hanging="360" w:left="3600"/>
        <w:tabs>
          <w:tab w:val="left" w:pos="3600" w:leader="none"/>
        </w:tabs>
      </w:pPr>
      <w:rPr>
        <w:rFonts w:ascii="Courier New" w:hAnsi="Courier New"/>
      </w:rPr>
    </w:lvl>
    <w:lvl w:ilvl="5" w:tplc="303638F6">
      <w:start w:val="1"/>
      <w:numFmt w:val="bullet"/>
      <w:suff w:val="tab"/>
      <w:lvlText w:val=""/>
      <w:lvlJc w:val="left"/>
      <w:pPr>
        <w:ind w:hanging="360" w:left="4320"/>
        <w:tabs>
          <w:tab w:val="left" w:pos="4320" w:leader="none"/>
        </w:tabs>
      </w:pPr>
      <w:rPr>
        <w:rFonts w:ascii="Wingdings" w:hAnsi="Wingdings"/>
      </w:rPr>
    </w:lvl>
    <w:lvl w:ilvl="6" w:tplc="2FC81B81">
      <w:start w:val="1"/>
      <w:numFmt w:val="bullet"/>
      <w:suff w:val="tab"/>
      <w:lvlText w:val=""/>
      <w:lvlJc w:val="left"/>
      <w:pPr>
        <w:ind w:hanging="360" w:left="5040"/>
        <w:tabs>
          <w:tab w:val="left" w:pos="5040" w:leader="none"/>
        </w:tabs>
      </w:pPr>
      <w:rPr>
        <w:rFonts w:ascii="Symbol" w:hAnsi="Symbol"/>
      </w:rPr>
    </w:lvl>
    <w:lvl w:ilvl="7" w:tplc="275399B5">
      <w:start w:val="1"/>
      <w:numFmt w:val="bullet"/>
      <w:suff w:val="tab"/>
      <w:lvlText w:val="o"/>
      <w:lvlJc w:val="left"/>
      <w:pPr>
        <w:ind w:hanging="360" w:left="5760"/>
        <w:tabs>
          <w:tab w:val="left" w:pos="5760" w:leader="none"/>
        </w:tabs>
      </w:pPr>
      <w:rPr>
        <w:rFonts w:ascii="Courier New" w:hAnsi="Courier New"/>
      </w:rPr>
    </w:lvl>
    <w:lvl w:ilvl="8" w:tplc="0812EF5E">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0672A8EB">
      <w:start w:val="1"/>
      <w:numFmt w:val="bullet"/>
      <w:suff w:val="tab"/>
      <w:lvlText w:val=""/>
      <w:lvlJc w:val="left"/>
      <w:pPr>
        <w:ind w:hanging="360" w:left="720"/>
        <w:tabs>
          <w:tab w:val="left" w:pos="720" w:leader="none"/>
        </w:tabs>
      </w:pPr>
      <w:rPr>
        <w:rFonts w:ascii="Symbol" w:hAnsi="Symbol"/>
      </w:rPr>
    </w:lvl>
    <w:lvl w:ilvl="1" w:tplc="429782BF">
      <w:start w:val="1"/>
      <w:numFmt w:val="bullet"/>
      <w:suff w:val="tab"/>
      <w:lvlText w:val="o"/>
      <w:lvlJc w:val="left"/>
      <w:pPr>
        <w:ind w:hanging="360" w:left="1440"/>
        <w:tabs>
          <w:tab w:val="left" w:pos="1440" w:leader="none"/>
        </w:tabs>
      </w:pPr>
      <w:rPr>
        <w:rFonts w:ascii="Courier New" w:hAnsi="Courier New"/>
      </w:rPr>
    </w:lvl>
    <w:lvl w:ilvl="2" w:tplc="13B35533">
      <w:start w:val="1"/>
      <w:numFmt w:val="bullet"/>
      <w:suff w:val="tab"/>
      <w:lvlText w:val=""/>
      <w:lvlJc w:val="left"/>
      <w:pPr>
        <w:ind w:hanging="360" w:left="2160"/>
        <w:tabs>
          <w:tab w:val="left" w:pos="2160" w:leader="none"/>
        </w:tabs>
      </w:pPr>
      <w:rPr>
        <w:rFonts w:ascii="Wingdings" w:hAnsi="Wingdings"/>
      </w:rPr>
    </w:lvl>
    <w:lvl w:ilvl="3" w:tplc="2987D470">
      <w:start w:val="1"/>
      <w:numFmt w:val="bullet"/>
      <w:suff w:val="tab"/>
      <w:lvlText w:val=""/>
      <w:lvlJc w:val="left"/>
      <w:pPr>
        <w:ind w:hanging="360" w:left="2880"/>
        <w:tabs>
          <w:tab w:val="left" w:pos="2880" w:leader="none"/>
        </w:tabs>
      </w:pPr>
      <w:rPr>
        <w:rFonts w:ascii="Symbol" w:hAnsi="Symbol"/>
      </w:rPr>
    </w:lvl>
    <w:lvl w:ilvl="4" w:tplc="74B6FDEE">
      <w:start w:val="1"/>
      <w:numFmt w:val="bullet"/>
      <w:suff w:val="tab"/>
      <w:lvlText w:val="o"/>
      <w:lvlJc w:val="left"/>
      <w:pPr>
        <w:ind w:hanging="360" w:left="3600"/>
        <w:tabs>
          <w:tab w:val="left" w:pos="3600" w:leader="none"/>
        </w:tabs>
      </w:pPr>
      <w:rPr>
        <w:rFonts w:ascii="Courier New" w:hAnsi="Courier New"/>
      </w:rPr>
    </w:lvl>
    <w:lvl w:ilvl="5" w:tplc="32EE2C95">
      <w:start w:val="1"/>
      <w:numFmt w:val="bullet"/>
      <w:suff w:val="tab"/>
      <w:lvlText w:val=""/>
      <w:lvlJc w:val="left"/>
      <w:pPr>
        <w:ind w:hanging="360" w:left="4320"/>
        <w:tabs>
          <w:tab w:val="left" w:pos="4320" w:leader="none"/>
        </w:tabs>
      </w:pPr>
      <w:rPr>
        <w:rFonts w:ascii="Wingdings" w:hAnsi="Wingdings"/>
      </w:rPr>
    </w:lvl>
    <w:lvl w:ilvl="6" w:tplc="3565900C">
      <w:start w:val="1"/>
      <w:numFmt w:val="bullet"/>
      <w:suff w:val="tab"/>
      <w:lvlText w:val=""/>
      <w:lvlJc w:val="left"/>
      <w:pPr>
        <w:ind w:hanging="360" w:left="5040"/>
        <w:tabs>
          <w:tab w:val="left" w:pos="5040" w:leader="none"/>
        </w:tabs>
      </w:pPr>
      <w:rPr>
        <w:rFonts w:ascii="Symbol" w:hAnsi="Symbol"/>
      </w:rPr>
    </w:lvl>
    <w:lvl w:ilvl="7" w:tplc="6AFE16D7">
      <w:start w:val="1"/>
      <w:numFmt w:val="bullet"/>
      <w:suff w:val="tab"/>
      <w:lvlText w:val="o"/>
      <w:lvlJc w:val="left"/>
      <w:pPr>
        <w:ind w:hanging="360" w:left="5760"/>
        <w:tabs>
          <w:tab w:val="left" w:pos="5760" w:leader="none"/>
        </w:tabs>
      </w:pPr>
      <w:rPr>
        <w:rFonts w:ascii="Courier New" w:hAnsi="Courier New"/>
      </w:rPr>
    </w:lvl>
    <w:lvl w:ilvl="8" w:tplc="5C8EDFDA">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2057184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10"/>
  </w:num>
  <w:num w:numId="3">
    <w:abstractNumId w:val="14"/>
  </w:num>
  <w:num w:numId="4">
    <w:abstractNumId w:val="24"/>
  </w:num>
  <w:num w:numId="5">
    <w:abstractNumId w:val="28"/>
  </w:num>
  <w:num w:numId="6">
    <w:abstractNumId w:val="8"/>
  </w:num>
  <w:num w:numId="7">
    <w:abstractNumId w:val="22"/>
  </w:num>
  <w:num w:numId="8">
    <w:abstractNumId w:val="4"/>
  </w:num>
  <w:num w:numId="9">
    <w:abstractNumId w:val="7"/>
  </w:num>
  <w:num w:numId="10">
    <w:abstractNumId w:val="9"/>
  </w:num>
  <w:num w:numId="11">
    <w:abstractNumId w:val="18"/>
  </w:num>
  <w:num w:numId="12">
    <w:abstractNumId w:val="19"/>
  </w:num>
  <w:num w:numId="13">
    <w:abstractNumId w:val="32"/>
  </w:num>
  <w:num w:numId="14">
    <w:abstractNumId w:val="27"/>
  </w:num>
  <w:num w:numId="15">
    <w:abstractNumId w:val="26"/>
  </w:num>
  <w:num w:numId="16">
    <w:abstractNumId w:val="16"/>
  </w:num>
  <w:num w:numId="17">
    <w:abstractNumId w:val="17"/>
  </w:num>
  <w:num w:numId="18">
    <w:abstractNumId w:val="29"/>
  </w:num>
  <w:num w:numId="19">
    <w:abstractNumId w:val="11"/>
  </w:num>
  <w:num w:numId="20">
    <w:abstractNumId w:val="5"/>
  </w:num>
  <w:num w:numId="21">
    <w:abstractNumId w:val="1"/>
  </w:num>
  <w:num w:numId="22">
    <w:abstractNumId w:val="21"/>
  </w:num>
  <w:num w:numId="23">
    <w:abstractNumId w:val="30"/>
  </w:num>
  <w:num w:numId="24">
    <w:abstractNumId w:val="25"/>
  </w:num>
  <w:num w:numId="25">
    <w:abstractNumId w:val="12"/>
  </w:num>
  <w:num w:numId="26">
    <w:abstractNumId w:val="31"/>
  </w:num>
  <w:num w:numId="27">
    <w:abstractNumId w:val="3"/>
  </w:num>
  <w:num w:numId="28">
    <w:abstractNumId w:val="23"/>
  </w:num>
  <w:num w:numId="29">
    <w:abstractNumId w:val="6"/>
  </w:num>
  <w:num w:numId="30">
    <w:abstractNumId w:val="15"/>
  </w:num>
  <w:num w:numId="31">
    <w:abstractNumId w:val="0"/>
  </w:num>
  <w:num w:numId="32">
    <w:abstractNumId w:val="13"/>
  </w:num>
  <w:num w:numId="33">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2011-05-19T12:19:00Z</dcterms:created>
  <cp:lastModifiedBy>Ethan Puglia</cp:lastModifiedBy>
  <cp:lastPrinted>2011-05-19T12:11:00Z</cp:lastPrinted>
  <dcterms:modified xsi:type="dcterms:W3CDTF">2019-03-28T17:34:30Z</dcterms:modified>
  <cp:revision>5</cp:revision>
  <dc:title>PROYECTO DE ORDENANZA VIOLENCIA FAMILIAR</dc:title>
</cp:coreProperties>
</file>