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9DF91B3" Type="http://schemas.openxmlformats.org/officeDocument/2006/relationships/officeDocument" Target="/word/document.xml" /><Relationship Id="coreR49DF91B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8912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1344/03;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el Sr. Juan Cabral L.E 6.411.389, solicita eximición de la deuda que en concepto de Tasa por Servicios a la Propiedad mantiene con la Municipalidad de Alta Gracia, el inmueble Designación Catastral 01-01-053-011 Cta.00000864;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de referencia está a nombre de la Sra. González María, esposa del solicitante, la cual ha fallecido;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Sr. Juan Cabral ha fallecido y su hijo Rodolfo José Cabral DNI 16.081.317, ha continuado con el trámite de eximición;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Fs.20 certifica filiación con la titular;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Fs.21/26, obra Estado de Deuda, en el cual se observa que parte de la deuda se encuentra en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es una familia inserta en el sistema productivo a través del trabajo formal e informal, reciben recursos monetarios mediante transferencia formal, ubicándose sobre la línea de la pobreza;</w:t>
      </w:r>
    </w:p>
    <w:p>
      <w:pPr>
        <w:pStyle w:val="P16"/>
        <w:ind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ESTABLECESE </w:t>
      </w:r>
      <w:r>
        <w:rPr>
          <w:rStyle w:val="C3"/>
          <w:rFonts w:ascii="Courier New" w:hAnsi="Courier New"/>
          <w:b w:val="0"/>
          <w:sz w:val="24"/>
        </w:rPr>
        <w:t xml:space="preserve">que por cada cuota actual abonada en término, eximir </w:t>
      </w:r>
      <w:r>
        <w:rPr>
          <w:rStyle w:val="C3"/>
          <w:rFonts w:ascii="Courier New" w:hAnsi="Courier New"/>
          <w:b w:val="0"/>
          <w:sz w:val="24"/>
        </w:rPr>
        <w:t>SEIS (</w:t>
      </w:r>
      <w:r>
        <w:rPr>
          <w:rStyle w:val="C3"/>
          <w:rFonts w:ascii="Courier New" w:hAnsi="Courier New"/>
          <w:b w:val="0"/>
          <w:sz w:val="24"/>
        </w:rPr>
        <w:t>6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en concepto de Tasa por Servicios a la Propiedad mantiene con la Municipalidad de Alta Gracia, el inmueble Designación </w:t>
      </w:r>
      <w:r>
        <w:rPr>
          <w:rStyle w:val="C3"/>
          <w:rFonts w:ascii="Courier New" w:hAnsi="Courier New"/>
          <w:b w:val="0"/>
          <w:sz w:val="24"/>
        </w:rPr>
        <w:t>C</w:t>
      </w:r>
      <w:r>
        <w:rPr>
          <w:rStyle w:val="C3"/>
          <w:rFonts w:ascii="Courier New" w:hAnsi="Courier New"/>
          <w:b w:val="0"/>
          <w:sz w:val="24"/>
        </w:rPr>
        <w:t>atastral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01-01-053-011 Cta.00000864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CONDICIONASE</w:t>
      </w:r>
      <w:r>
        <w:rPr>
          <w:rStyle w:val="C3"/>
          <w:rFonts w:ascii="Courier New" w:hAnsi="Courier New"/>
          <w:b w:val="0"/>
          <w:sz w:val="24"/>
        </w:rPr>
        <w:t xml:space="preserve"> que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la falta de pago de </w:t>
      </w:r>
      <w:r>
        <w:rPr>
          <w:rStyle w:val="C3"/>
          <w:rFonts w:ascii="Courier New" w:hAnsi="Courier New"/>
          <w:b w:val="0"/>
          <w:sz w:val="24"/>
        </w:rPr>
        <w:t>TRES (</w:t>
      </w:r>
      <w:r>
        <w:rPr>
          <w:rStyle w:val="C3"/>
          <w:rFonts w:ascii="Courier New" w:hAnsi="Courier New"/>
          <w:b w:val="0"/>
          <w:sz w:val="24"/>
        </w:rPr>
        <w:t>3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cuotas consecutivas o alternadas así como la venta del inmueble hará caducar el beneficio de pleno derecho;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PARA</w:t>
      </w:r>
      <w:r>
        <w:rPr>
          <w:rStyle w:val="C3"/>
          <w:rFonts w:ascii="Courier New" w:hAnsi="Courier New"/>
        </w:rPr>
        <w:t xml:space="preserve"> acceder al beneficio concedido precedentemente, se deberá con anterioridad cancelar los gastos y honorarios de los procuradores actuantes;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43519BF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4690AF7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A49C525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F6E3D3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334558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428BC3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30B6BB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1F7D54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F2C561A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2D5450E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C0B59E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88D6EC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F03DD3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360F8F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3A8ABE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F1579F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C31CD7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5191F1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2D3E6D7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3F16D7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F47334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EC007A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179E28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05A81A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B74FE1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04224B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005D82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7C92469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6AD9EB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55F004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9E40F7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13638D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F50599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0FBCC2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68A434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5F3BB1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22E66BF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22AAB3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887C54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9C2ABF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E4239B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F74743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918D1D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475D1E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340586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6FAF3D7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2011-06-07T10:59:00Z</dcterms:created>
  <cp:lastModifiedBy>Ethan Puglia</cp:lastModifiedBy>
  <cp:lastPrinted>2011-06-14T13:49:00Z</cp:lastPrinted>
  <dcterms:modified xsi:type="dcterms:W3CDTF">2019-03-28T17:34:31Z</dcterms:modified>
  <cp:revision>8</cp:revision>
  <dc:title>PROYECTO DE ORDENANZA VIOLENCIA FAMILIAR</dc:title>
</cp:coreProperties>
</file>