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2C7A96" Type="http://schemas.openxmlformats.org/officeDocument/2006/relationships/officeDocument" Target="/word/document.xml" /><Relationship Id="coreR222C7A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1040/02;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Lencinas Emma Rosa LC 1444451, solicita eximición de la deuda que en concepto de Tasa por Servicios a la Propiedad mantiene con la Municipalidad de Alta Gracia el inmueble 03-01-047-025 Cta.00013566;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obra certificado de defunción del Sr. Anselmo Mampel, esposo de la solicitante y titular (junto a la Sra. Lencinas)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el hogar se ubica sobre la línea de la pobreza, no obstante la situación de la vivienda donde viven (problemas de humedad y riesgo de derrumbe) y la vulnerabilidad en la salud de uno de sus miembros es de considerar que sus ingresos monetarios no cubren la canasta básica total;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AUTORIZAR </w:t>
      </w:r>
      <w:r>
        <w:rPr>
          <w:rStyle w:val="C3"/>
          <w:rFonts w:ascii="Courier New" w:hAnsi="Courier New"/>
          <w:b w:val="0"/>
          <w:sz w:val="24"/>
        </w:rPr>
        <w:t xml:space="preserve">al Departamento Ejecutivo a conceder plan de pagos, a valores históricos, sin actualizaciones ni intereses acorde a sus posibilidades, de la deuda que en concepto de Tasa por Servicios a la Propiedad mantiene con la Municipalidad de Alta Gracia hasta la fecha de promulgación de la presente,  el inmueble 03-01-047-025 Cta.00013566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quita del CINCUENTA POR CIENTO (50%) en la cuota mensual a abonar en concepto de Tasa por Servicios a la Propiedad, al inmueble Designación Catastral 03-01-047-025 Cta.00013566, desde la promulgación de la presente y por el término de un año, momento en que deberá realizarse nuevo estudio socioeconómico, y en caso de mantenerse la situación, extender el beneficio por sucesivos e iguales periodos.-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ESTABLECER </w:t>
      </w:r>
      <w:r>
        <w:rPr>
          <w:rStyle w:val="C3"/>
          <w:rFonts w:ascii="Courier New" w:hAnsi="Courier New"/>
        </w:rPr>
        <w:t>que la falta de pago de TRES (3) cuotas alternadas o consecutivas o el cambio de la titularidad del inmueble, harán caducar automáticamente el beneficio otorgado.-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0AEC07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11E26D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510A0E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BD5EA1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C9C96C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F51D03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F52243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F8FA03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F91DE1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7C3A59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ECF9F3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92DE7E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490A1E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A3B38B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96E127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29E9A4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A1AED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7813B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1D4B9C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EF183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6C63A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FBA16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B808E9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C1288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B1E926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1E6C8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EB00C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F382AA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EED38E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8A0E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162E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DFBF4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A9027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8901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7E1BD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8A8DB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3333C0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CD216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7CDFE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30ABA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CA96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9069F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0FE1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4BE9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CBBA6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F95353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2011-06-07T12:51:00Z</dcterms:created>
  <cp:lastModifiedBy>Ethan Puglia</cp:lastModifiedBy>
  <cp:lastPrinted>2011-06-07T12:49:00Z</cp:lastPrinted>
  <dcterms:modified xsi:type="dcterms:W3CDTF">2019-03-28T17:34:31Z</dcterms:modified>
  <cp:revision>4</cp:revision>
  <dc:title>PROYECTO DE ORDENANZA VIOLENCIA FAMILIAR</dc:title>
</cp:coreProperties>
</file>