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5075C5" Type="http://schemas.openxmlformats.org/officeDocument/2006/relationships/officeDocument" Target="/word/document.xml" /><Relationship Id="coreR305075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58/I/11;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 el Sr. Andrés E. Oliva solicita eximición de la deuda que en concepto de Tasa por Servicios a la Propiedad mantiene con la Municipalidad de Alta Gracia el Inmueble Designación Catastral 03-01-287-019 Cta.00029925;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a nombre del solicitante no se registran inmuebles, que el inmueble en cuestión está a nombre de Pino Alicia Mariana Pino, esposa del Sr. Oliva;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es una familia ubicada por debajo de la línea de la pobreza ya que no logran cubrir la canasta básica;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CONCEDER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una quita del </w:t>
      </w:r>
      <w:r>
        <w:rPr>
          <w:rStyle w:val="C3"/>
          <w:rFonts w:ascii="Courier New" w:hAnsi="Courier New"/>
          <w:b w:val="0"/>
          <w:sz w:val="24"/>
        </w:rPr>
        <w:t>CINCUENTA POR CIENTO (</w:t>
      </w:r>
      <w:r>
        <w:rPr>
          <w:rStyle w:val="C3"/>
          <w:rFonts w:ascii="Courier New" w:hAnsi="Courier New"/>
          <w:b w:val="0"/>
          <w:sz w:val="24"/>
        </w:rPr>
        <w:t>50%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el importe de las cuotas correspondientes a la Designación Catastral 03-01-287-019 Cta.00029925 desde la promulgación de la presente y por el término de dos años, momento en el que se deberá </w:t>
      </w:r>
      <w:r>
        <w:rPr>
          <w:rStyle w:val="C3"/>
          <w:rFonts w:ascii="Courier New" w:hAnsi="Courier New"/>
          <w:b w:val="0"/>
          <w:sz w:val="24"/>
        </w:rPr>
        <w:t>realizar un nuevo Relevamiento S</w:t>
      </w:r>
      <w:r>
        <w:rPr>
          <w:rStyle w:val="C3"/>
          <w:rFonts w:ascii="Courier New" w:hAnsi="Courier New"/>
          <w:b w:val="0"/>
          <w:sz w:val="24"/>
        </w:rPr>
        <w:t>ocioeconómico y Ambiental y de mantenerse la situación actual renovar el beneficio por igual período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ESTABLECER </w:t>
      </w: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  <w:sz w:val="24"/>
        </w:rPr>
        <w:t>por</w:t>
      </w:r>
      <w:r>
        <w:rPr>
          <w:rStyle w:val="C3"/>
          <w:rFonts w:ascii="Courier New" w:hAnsi="Courier New"/>
          <w:b w:val="0"/>
          <w:sz w:val="24"/>
        </w:rPr>
        <w:t xml:space="preserve"> cada cuota abonada según el precepto anterior cancelar</w:t>
      </w:r>
      <w:r>
        <w:rPr>
          <w:rStyle w:val="C3"/>
          <w:rFonts w:ascii="Courier New" w:hAnsi="Courier New"/>
          <w:b w:val="0"/>
          <w:sz w:val="24"/>
        </w:rPr>
        <w:t xml:space="preserve"> SEIS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cuotas de la deuda vencida debiéndose anular planes de pago anteriores si los hubiere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 EL</w:t>
      </w:r>
      <w:r>
        <w:rPr>
          <w:rStyle w:val="C3"/>
          <w:rFonts w:ascii="Courier New" w:hAnsi="Courier New"/>
          <w:b w:val="0"/>
          <w:sz w:val="24"/>
        </w:rPr>
        <w:t xml:space="preserve"> beneficio caducará por transferencia o por venta o cambio de titularidad del inmueble, como así también la falta de pago de </w:t>
      </w:r>
      <w:r>
        <w:rPr>
          <w:rStyle w:val="C3"/>
          <w:rFonts w:ascii="Courier New" w:hAnsi="Courier New"/>
          <w:b w:val="0"/>
          <w:sz w:val="24"/>
        </w:rPr>
        <w:t>TRES (</w:t>
      </w:r>
      <w:r>
        <w:rPr>
          <w:rStyle w:val="C3"/>
          <w:rFonts w:ascii="Courier New" w:hAnsi="Courier New"/>
          <w:b w:val="0"/>
          <w:sz w:val="24"/>
        </w:rPr>
        <w:t>3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cuotas consecutivas o alternadas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5BD80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59F39F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F7AC36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32A1CE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C42DB6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7D973F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1C8692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D7F37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B16F4B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BB1D64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1CA298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AECDE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434FD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ACF4F1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C97086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6802A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E2EE9C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66AA42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498447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8585DC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02D1E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0B32B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C07CA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AF10D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28D53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DC25D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4D0B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D5D89D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82737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1BFE4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BBEA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D744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F0CA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FDD90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B1C3E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A754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182DDC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76829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2D25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F23C7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224D8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5DE0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FEEE6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D7489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45FF9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4AAAE0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2011-06-07T20:36:00Z</dcterms:created>
  <cp:lastModifiedBy>Ethan Puglia</cp:lastModifiedBy>
  <cp:lastPrinted>2011-06-16T13:23:00Z</cp:lastPrinted>
  <dcterms:modified xsi:type="dcterms:W3CDTF">2019-03-28T17:34:32Z</dcterms:modified>
  <cp:revision>6</cp:revision>
  <dc:title>PROYECTO DE ORDENANZA VIOLENCIA FAMILIAR</dc:title>
</cp:coreProperties>
</file>