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89CBF1E" Type="http://schemas.openxmlformats.org/officeDocument/2006/relationships/officeDocument" Target="/word/document.xml" /><Relationship Id="coreR589CBF1E"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left="113"/>
        <w:jc w:val="center"/>
        <w:rPr>
          <w:rStyle w:val="C3"/>
          <w:rFonts w:ascii="Small Fonts" w:hAnsi="Small Fonts"/>
          <w:b w:val="1"/>
          <w:sz w:val="24"/>
        </w:rPr>
      </w:pPr>
    </w:p>
    <w:p>
      <w:pPr>
        <w:pStyle w:val="P16"/>
        <w:ind w:left="113"/>
        <w:jc w:val="center"/>
        <w:rPr>
          <w:rStyle w:val="C3"/>
          <w:rFonts w:ascii="Small Fonts" w:hAnsi="Small Fonts"/>
          <w:b w:val="1"/>
          <w:sz w:val="24"/>
        </w:rPr>
      </w:pPr>
    </w:p>
    <w:p>
      <w:pPr>
        <w:pStyle w:val="P4"/>
        <w:rPr>
          <w:rStyle w:val="C3"/>
        </w:rPr>
      </w:pPr>
    </w:p>
    <w:p>
      <w:pPr>
        <w:pStyle w:val="P4"/>
        <w:rPr>
          <w:rStyle w:val="C3"/>
        </w:rPr>
      </w:pPr>
    </w:p>
    <w:p>
      <w:pPr>
        <w:pStyle w:val="P4"/>
      </w:pPr>
      <w:r>
        <w:t>ORDENANZA N° 8943</w:t>
      </w:r>
    </w:p>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La Ordenanza Nº 8543, su Artículo Nº 10; y</w:t>
      </w:r>
    </w:p>
    <w:p>
      <w:pPr>
        <w:pStyle w:val="P15"/>
        <w:tabs>
          <w:tab w:val="clear" w:pos="4252" w:leader="none"/>
          <w:tab w:val="clear" w:pos="8504" w:leader="none"/>
        </w:tabs>
        <w:rPr>
          <w:rStyle w:val="C3"/>
        </w:rPr>
      </w:pPr>
    </w:p>
    <w:p>
      <w:pPr>
        <w:pStyle w:val="P15"/>
        <w:tabs>
          <w:tab w:val="clear" w:pos="4252" w:leader="none"/>
          <w:tab w:val="clear" w:pos="8504" w:leader="none"/>
        </w:tabs>
        <w:rPr>
          <w:rStyle w:val="C3"/>
        </w:rPr>
      </w:pPr>
    </w:p>
    <w:p>
      <w:pPr>
        <w:pStyle w:val="P2"/>
      </w:pPr>
      <w:r>
        <w:t>C O N S I D E R A N D O</w:t>
      </w:r>
    </w:p>
    <w:p>
      <w:pPr>
        <w:pStyle w:val="P15"/>
        <w:tabs>
          <w:tab w:val="clear" w:pos="4252" w:leader="none"/>
          <w:tab w:val="clear" w:pos="8504" w:leader="none"/>
        </w:tabs>
      </w:pPr>
    </w:p>
    <w:p>
      <w:pPr>
        <w:pStyle w:val="P15"/>
        <w:tabs>
          <w:tab w:val="clear" w:pos="4252" w:leader="none"/>
          <w:tab w:val="clear" w:pos="8504" w:leader="none"/>
        </w:tabs>
      </w:pPr>
    </w:p>
    <w:p>
      <w:pPr>
        <w:ind w:left="561"/>
        <w:jc w:val="both"/>
        <w:rPr>
          <w:rStyle w:val="C3"/>
          <w:rFonts w:ascii="Courier New" w:hAnsi="Courier New"/>
        </w:rPr>
      </w:pPr>
      <w:r>
        <w:rPr>
          <w:rStyle w:val="C3"/>
          <w:rFonts w:ascii="Courier New" w:hAnsi="Courier New"/>
        </w:rPr>
        <w:t>Que a través de dicha norma se establece el marco normativo que procura el ordenamiento de los puestos de venta de choripán, con parada fija, instalados en la vía pública; en lugares pertenecientes al Dominio Público Municipal, al Dominio Privado Municipal de uso Público y en los espacios de uso privado cuando así lo autorice su propietario;</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el precepto de referencia (Art.10º) hace al horario de funcionamiento y estadía de los mismos en su lugar habitual de trabajo y cuya condición sine qua non es el retiro del puesto, día a día, al finalizar la jornada;</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en diversas oportunidades, y por distintas circunstancias, en ocurrencia de factores ajenos a los prestadores, como la rotura del vehículo utilizado para el traslado, se ven imposibilitados temporalmente de su concreción;</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analizado el asunto por la totalidad de los Concejales presentes, se decide la modificación de la norma de referencia, aprobada por unanimidad, en Sesión Ordinaria del día 08 de Junio de 2011;</w:t>
      </w:r>
    </w:p>
    <w:p>
      <w:pPr>
        <w:ind w:hanging="561" w:left="561"/>
        <w:jc w:val="right"/>
        <w:rPr>
          <w:rStyle w:val="C3"/>
          <w:rFonts w:ascii="Courier New" w:hAnsi="Courier New"/>
        </w:rPr>
      </w:pPr>
    </w:p>
    <w:p>
      <w:pPr>
        <w:ind w:hanging="561" w:left="561"/>
        <w:jc w:val="right"/>
        <w:rPr>
          <w:rStyle w:val="C3"/>
          <w:rFonts w:ascii="Courier New" w:hAnsi="Courier New"/>
        </w:rPr>
      </w:pPr>
    </w:p>
    <w:p>
      <w:pPr>
        <w:ind w:hanging="561" w:left="561"/>
        <w:jc w:val="right"/>
        <w:rPr>
          <w:rStyle w:val="C3"/>
          <w:rFonts w:ascii="Courier New" w:hAnsi="Courier New"/>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ind w:hanging="561" w:left="561"/>
        <w:jc w:val="both"/>
        <w:rPr>
          <w:rStyle w:val="C3"/>
          <w:rFonts w:ascii="Courier New" w:hAnsi="Courier New"/>
        </w:rPr>
      </w:pPr>
    </w:p>
    <w:p>
      <w:pPr>
        <w:ind w:hanging="374" w:left="374"/>
        <w:jc w:val="both"/>
        <w:rPr>
          <w:rStyle w:val="C3"/>
          <w:rFonts w:ascii="Courier New" w:hAnsi="Courier New"/>
          <w:b w:val="1"/>
        </w:rPr>
      </w:pPr>
    </w:p>
    <w:p>
      <w:pPr>
        <w:ind w:hanging="374" w:left="374"/>
        <w:jc w:val="both"/>
        <w:rPr>
          <w:rStyle w:val="C3"/>
          <w:rFonts w:ascii="Courier New" w:hAnsi="Courier New"/>
        </w:rPr>
      </w:pPr>
      <w:r>
        <w:rPr>
          <w:rStyle w:val="C3"/>
          <w:rFonts w:ascii="Courier New" w:hAnsi="Courier New"/>
          <w:b w:val="1"/>
          <w:color w:val="000000"/>
          <w:u w:val="single"/>
        </w:rPr>
        <w:t>Art.1</w:t>
      </w:r>
      <w:r>
        <w:rPr>
          <w:rStyle w:val="C3"/>
          <w:rFonts w:ascii="Courier New" w:hAnsi="Courier New"/>
          <w:b w:val="1"/>
          <w:color w:val="000000"/>
        </w:rPr>
        <w:t>:</w:t>
      </w:r>
      <w:r>
        <w:rPr>
          <w:rStyle w:val="C3"/>
          <w:rFonts w:ascii="Courier New" w:hAnsi="Courier New"/>
          <w:b w:val="1"/>
          <w:color w:val="000000"/>
        </w:rPr>
        <w:t xml:space="preserve"> </w:t>
      </w:r>
      <w:r>
        <w:rPr>
          <w:rStyle w:val="C3"/>
          <w:rFonts w:ascii="Courier New" w:hAnsi="Courier New"/>
          <w:color w:val="000000"/>
        </w:rPr>
        <w:t xml:space="preserve">Modificar el </w:t>
      </w:r>
      <w:r>
        <w:rPr>
          <w:rStyle w:val="C3"/>
          <w:rFonts w:ascii="Courier New" w:hAnsi="Courier New"/>
        </w:rPr>
        <w:t>Art.10º de la Ordenanza Nº 8543, donde dice:</w:t>
      </w:r>
    </w:p>
    <w:p>
      <w:pPr>
        <w:ind w:hanging="374" w:left="374"/>
        <w:jc w:val="both"/>
        <w:rPr>
          <w:rStyle w:val="C3"/>
          <w:rFonts w:ascii="Courier New" w:hAnsi="Courier New"/>
        </w:rPr>
      </w:pPr>
    </w:p>
    <w:p>
      <w:pPr>
        <w:ind w:hanging="374" w:left="374"/>
        <w:jc w:val="both"/>
        <w:rPr>
          <w:rStyle w:val="C3"/>
          <w:rFonts w:ascii="Courier New" w:hAnsi="Courier New"/>
        </w:rPr>
      </w:pPr>
    </w:p>
    <w:p>
      <w:pPr>
        <w:ind w:hanging="374" w:left="374"/>
        <w:jc w:val="both"/>
        <w:rPr>
          <w:rStyle w:val="C3"/>
          <w:rFonts w:ascii="Courier New" w:hAnsi="Courier New"/>
        </w:rPr>
      </w:pPr>
    </w:p>
    <w:p>
      <w:pPr>
        <w:ind w:hanging="374" w:left="374"/>
        <w:jc w:val="both"/>
        <w:rPr>
          <w:rStyle w:val="C3"/>
          <w:rFonts w:ascii="Courier New" w:hAnsi="Courier New"/>
        </w:rPr>
      </w:pPr>
    </w:p>
    <w:p>
      <w:pPr>
        <w:ind w:hanging="374" w:left="374"/>
        <w:jc w:val="right"/>
        <w:rPr>
          <w:rStyle w:val="C3"/>
          <w:rFonts w:ascii="Courier New" w:hAnsi="Courier New"/>
        </w:rPr>
      </w:pPr>
      <w:r>
        <w:rPr>
          <w:rStyle w:val="C3"/>
          <w:rFonts w:ascii="Courier New" w:hAnsi="Courier New"/>
        </w:rPr>
        <w:t>./////</w:t>
      </w:r>
    </w:p>
    <w:p>
      <w:pPr>
        <w:ind w:hanging="374" w:left="374"/>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rPr>
        <w:t>...///2</w:t>
      </w:r>
    </w:p>
    <w:p>
      <w:pPr>
        <w:ind w:hanging="374" w:left="374"/>
        <w:jc w:val="both"/>
        <w:rPr>
          <w:rStyle w:val="C3"/>
          <w:rFonts w:ascii="Courier New" w:hAnsi="Courier New"/>
        </w:rPr>
      </w:pPr>
    </w:p>
    <w:p>
      <w:pPr>
        <w:ind w:left="851"/>
        <w:jc w:val="both"/>
        <w:rPr>
          <w:rStyle w:val="C3"/>
          <w:rFonts w:ascii="Courier New" w:hAnsi="Courier New"/>
        </w:rPr>
      </w:pPr>
      <w:r>
        <w:rPr>
          <w:rStyle w:val="C3"/>
          <w:rFonts w:ascii="Courier New" w:hAnsi="Courier New"/>
          <w:b w:val="1"/>
        </w:rPr>
        <w:t>……”</w:t>
      </w:r>
      <w:r>
        <w:rPr>
          <w:rStyle w:val="C3"/>
          <w:rFonts w:ascii="Courier New" w:hAnsi="Courier New"/>
          <w:b w:val="1"/>
        </w:rPr>
        <w:t>EL</w:t>
      </w:r>
      <w:r>
        <w:rPr>
          <w:rStyle w:val="C3"/>
          <w:rFonts w:ascii="Courier New" w:hAnsi="Courier New"/>
        </w:rPr>
        <w:t xml:space="preserve"> horario de expendio será de 21:00 hs., de cada día y su finalización a las 07:00 hs. del día posterior, el armado de los puestos será a partir de las 20:00 hs., debiendo dejar libre los lugares a las 08:00 hs. del día siguiente.-</w:t>
      </w:r>
    </w:p>
    <w:p>
      <w:pPr>
        <w:ind w:left="851"/>
        <w:jc w:val="both"/>
        <w:rPr>
          <w:rStyle w:val="C3"/>
          <w:rFonts w:ascii="Courier New" w:hAnsi="Courier New"/>
        </w:rPr>
      </w:pPr>
    </w:p>
    <w:p>
      <w:pPr>
        <w:ind w:left="851"/>
        <w:jc w:val="both"/>
        <w:rPr>
          <w:rStyle w:val="C3"/>
          <w:rFonts w:ascii="Courier New" w:hAnsi="Courier New"/>
        </w:rPr>
      </w:pPr>
    </w:p>
    <w:p>
      <w:pPr>
        <w:ind w:left="851"/>
        <w:jc w:val="both"/>
        <w:rPr>
          <w:rStyle w:val="C3"/>
          <w:rFonts w:ascii="Courier New" w:hAnsi="Courier New"/>
          <w:b w:val="1"/>
          <w:u w:val="single"/>
        </w:rPr>
      </w:pPr>
      <w:r>
        <w:rPr>
          <w:rStyle w:val="C3"/>
          <w:rFonts w:ascii="Courier New" w:hAnsi="Courier New"/>
          <w:b w:val="1"/>
          <w:u w:val="single"/>
        </w:rPr>
        <w:t>Debe decir:</w:t>
      </w:r>
    </w:p>
    <w:p>
      <w:pPr>
        <w:ind w:left="851"/>
        <w:jc w:val="both"/>
        <w:rPr>
          <w:rStyle w:val="C3"/>
          <w:rFonts w:ascii="Courier New" w:hAnsi="Courier New"/>
        </w:rPr>
      </w:pPr>
    </w:p>
    <w:p>
      <w:pPr>
        <w:ind w:left="851"/>
        <w:jc w:val="both"/>
        <w:rPr>
          <w:rStyle w:val="C3"/>
          <w:rFonts w:ascii="Courier New" w:hAnsi="Courier New"/>
        </w:rPr>
      </w:pPr>
      <w:r>
        <w:rPr>
          <w:rStyle w:val="C3"/>
          <w:rFonts w:ascii="Courier New" w:hAnsi="Courier New"/>
          <w:b w:val="1"/>
        </w:rPr>
        <w:t>……”EL</w:t>
      </w:r>
      <w:r>
        <w:rPr>
          <w:rStyle w:val="C3"/>
          <w:rFonts w:ascii="Courier New" w:hAnsi="Courier New"/>
        </w:rPr>
        <w:t xml:space="preserve"> horario de expendio será de 21:00 hs., de cada día y su finalización a las 07:00 hs. del día posterior, el armado de los puestos será a partir de las 20:00 hs., debiendo dejar libre los lugares a las 08:00 hs. del día siguiente, pudiendo la Autoridad de Aplicación autorizar, ante petición fundada, la permanencia de los mismos en dichos espacios por hasta NOVENTA Y SEIS (96) horas.-</w:t>
      </w:r>
    </w:p>
    <w:p>
      <w:pPr>
        <w:jc w:val="both"/>
        <w:rPr>
          <w:rStyle w:val="C3"/>
          <w:rFonts w:ascii="Courier New" w:hAnsi="Courier New"/>
        </w:rPr>
      </w:pPr>
    </w:p>
    <w:p>
      <w:pPr>
        <w:pStyle w:val="P20"/>
        <w:ind w:hanging="426"/>
        <w:jc w:val="both"/>
        <w:rPr>
          <w:rStyle w:val="C3"/>
          <w:sz w:val="24"/>
        </w:rPr>
      </w:pPr>
      <w:r>
        <w:rPr>
          <w:rStyle w:val="C3"/>
          <w:b w:val="1"/>
          <w:color w:val="000000"/>
          <w:sz w:val="24"/>
          <w:u w:val="single"/>
        </w:rPr>
        <w:t>Art.2</w:t>
      </w:r>
      <w:r>
        <w:rPr>
          <w:rStyle w:val="C3"/>
          <w:b w:val="1"/>
          <w:sz w:val="24"/>
        </w:rPr>
        <w:t>:</w:t>
      </w:r>
      <w:r>
        <w:rPr>
          <w:rStyle w:val="C3"/>
          <w:b w:val="1"/>
          <w:sz w:val="24"/>
        </w:rPr>
        <w:t xml:space="preserve"> </w:t>
      </w:r>
      <w:r>
        <w:rPr>
          <w:rStyle w:val="C3"/>
          <w:b w:val="1"/>
          <w:sz w:val="24"/>
        </w:rPr>
        <w:t>LA</w:t>
      </w:r>
      <w:r>
        <w:rPr>
          <w:rStyle w:val="C3"/>
          <w:sz w:val="24"/>
        </w:rPr>
        <w:t xml:space="preserve"> presente entrara en vigencia a partir de su fecha de sanción en un todo de acuerdo a lo establecido en el Art.24º de nuestra Carta Orgánica Municipal.-</w:t>
      </w:r>
    </w:p>
    <w:p>
      <w:pPr>
        <w:pStyle w:val="P20"/>
        <w:jc w:val="both"/>
        <w:rPr>
          <w:rStyle w:val="C3"/>
          <w:b w:val="1"/>
          <w:color w:val="000000"/>
          <w:sz w:val="24"/>
          <w:u w:val="single"/>
        </w:rPr>
      </w:pPr>
    </w:p>
    <w:p>
      <w:pPr>
        <w:pStyle w:val="P20"/>
        <w:ind w:hanging="426"/>
        <w:jc w:val="both"/>
        <w:rPr>
          <w:rStyle w:val="C3"/>
          <w:sz w:val="24"/>
        </w:rPr>
      </w:pPr>
      <w:r>
        <w:rPr>
          <w:rStyle w:val="C3"/>
          <w:b w:val="1"/>
          <w:color w:val="000000"/>
          <w:sz w:val="24"/>
          <w:u w:val="single"/>
        </w:rPr>
        <w:t>Art.3</w:t>
      </w:r>
      <w:r>
        <w:rPr>
          <w:rStyle w:val="C3"/>
          <w:b w:val="1"/>
          <w:color w:val="000000"/>
          <w:sz w:val="24"/>
        </w:rPr>
        <w:t xml:space="preserve">: </w:t>
      </w:r>
      <w:r>
        <w:rPr>
          <w:rStyle w:val="C3"/>
          <w:b w:val="1"/>
          <w:sz w:val="24"/>
        </w:rPr>
        <w:t>PROTOCOLÍCESE,</w:t>
      </w:r>
      <w:r>
        <w:rPr>
          <w:rStyle w:val="C3"/>
          <w:sz w:val="24"/>
        </w:rPr>
        <w:t xml:space="preserve"> comuníquese, publíquese en el Boletín Oficial de la ciudad de Alta Gracia, incorpórese al Libro de Ordenanzas y archívese.- </w:t>
      </w:r>
    </w:p>
    <w:p>
      <w:pPr>
        <w:pStyle w:val="P20"/>
        <w:jc w:val="both"/>
        <w:rPr>
          <w:rStyle w:val="C3"/>
          <w:sz w:val="24"/>
        </w:rPr>
      </w:pPr>
    </w:p>
    <w:p>
      <w:pPr>
        <w:pStyle w:val="P20"/>
        <w:jc w:val="both"/>
        <w:rPr>
          <w:rStyle w:val="C3"/>
          <w:sz w:val="24"/>
        </w:rPr>
      </w:pPr>
    </w:p>
    <w:p>
      <w:pPr>
        <w:pStyle w:val="P17"/>
        <w:rPr>
          <w:rStyle w:val="C3"/>
        </w:rPr>
      </w:pPr>
    </w:p>
    <w:p>
      <w:pPr>
        <w:pStyle w:val="P17"/>
        <w:ind w:left="113"/>
      </w:pPr>
      <w:r>
        <w:t xml:space="preserve">DADA EN LA SALA DE SESIONES DEL HONORABLE CONCEJO DELIBERANTE A LOS OCHO  DÍAS DEL MES DE JUNIO DEL AÑO DOS MIL ONCE.- </w:t>
      </w:r>
    </w:p>
    <w:sectPr>
      <w:type w:val="nextPage"/>
      <w:pgSz w:w="11906" w:h="16838" w:code="0"/>
      <w:pgMar w:left="1701" w:right="1701" w:top="1418" w:bottom="1418" w:header="720" w:footer="720"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2011-06-10T11:52:00Z</dcterms:created>
  <cp:lastModifiedBy>Ethan Puglia</cp:lastModifiedBy>
  <cp:lastPrinted>2011-06-10T12:00:00Z</cp:lastPrinted>
  <dcterms:modified xsi:type="dcterms:W3CDTF">2019-03-28T17:34:32Z</dcterms:modified>
  <cp:revision>8</cp:revision>
  <dc:title>PROYECTO DE ORDENANZA VIOLENCIA FAMILIAR</dc:title>
</cp:coreProperties>
</file>