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7DB47C" Type="http://schemas.openxmlformats.org/officeDocument/2006/relationships/officeDocument" Target="/word/document.xml" /><Relationship Id="coreR517DB4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N° 894</w:t>
      </w:r>
      <w:r>
        <w:rPr>
          <w:rStyle w:val="C3"/>
          <w:rFonts w:ascii="Courier New" w:hAnsi="Courier New"/>
          <w:b w:val="1"/>
          <w:u w:val="single"/>
        </w:rPr>
        <w:t>5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2122/10;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la Sra. Lazarte Francisca A. y el Sr. Do Pedro, titular y encargado respectivamente de Romelia Arte y Espectáculos solicitan eximición o quita sustancial en el pago que en concepto de Tasa por Servicios de Inspección General e Higiene recae sobre el Comercio Cta. 10379;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solicitud se basa en que la actividad está encuadrada en múltiples rubros por lo variado de la misma y se hace muy oneroso afrontar el pago correspondiente;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la Secretaría de Educación y Cultura considera oportuno realizar la exención de impuestos al salón Cultural Romelia debido a las actividades culturales que desarrolla, muchas de las cuales no podrían realizarse en la Ciudad por no contar con espacios cerrados adecuados;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Fs.7,  Dirección de Ingresos Públicos informa que el monto se genera en virtud del mínimo más alto por el cual están alcanzados los rubros en los cuales está inscripto y habilitado el comercio en este caso el de PUB;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acota además, de acuerdo a los montos declarados cuyas copias de declaraciones juradas se adjuntan, si no estuviera alcanzado por el mínimo especial de PESOS QUINIENTOS ($500), por los ingresos declarados debería abonar el monto mínimo general de PESOS CIENTO CUATRO ($104); 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referencia,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>:</w:t>
      </w:r>
      <w:r>
        <w:rPr>
          <w:rStyle w:val="C3"/>
          <w:rFonts w:ascii="Courier New" w:hAnsi="Courier New"/>
          <w:b w:val="0"/>
          <w:color w:val="00000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EXIMIR</w:t>
      </w:r>
      <w:r>
        <w:rPr>
          <w:rStyle w:val="C3"/>
          <w:rFonts w:ascii="Courier New" w:hAnsi="Courier New"/>
          <w:b w:val="0"/>
          <w:sz w:val="24"/>
        </w:rPr>
        <w:t xml:space="preserve"> en un CIEN POR CIENTO (100%) la deuda que hasta la promulgación de la presente mantiene en concepto de Tasa por Servicios de Inspección General e Higiene con la Municipalidad de Alta Gracia, el comercio Cta. 10379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FIJAR</w:t>
      </w:r>
      <w:r>
        <w:rPr>
          <w:rStyle w:val="C3"/>
          <w:rFonts w:ascii="Courier New" w:hAnsi="Courier New"/>
          <w:b w:val="0"/>
          <w:sz w:val="24"/>
        </w:rPr>
        <w:t xml:space="preserve"> desde la promulgación de la presente como Tasa a tributar el monto mínimo general estipulado en la Ordenanza Anual vigente.-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3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DD8231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A87E4D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125EDE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51BAA0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70D821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BA9D69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491165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264467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E69A6F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DCD730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D3329B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5CBDCB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0C4C84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10C9AF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FE73ED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6C806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1B8181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38213A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CEB6A9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C86EBA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339D6E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458401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F82E9E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DC1467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AA6816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590BF1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66BD4B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E9700E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2F7919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5EB49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C46D6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C15EC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36C83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A8FC27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5F05C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E7EF90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FF4BD9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321D3F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6991B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6044EC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E6EBD1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12290E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EC57B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01274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395F7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E7A923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2011-06-13T12:14:00Z</dcterms:created>
  <cp:lastModifiedBy>Ethan Puglia</cp:lastModifiedBy>
  <cp:lastPrinted>2011-06-27T15:14:00Z</cp:lastPrinted>
  <dcterms:modified xsi:type="dcterms:W3CDTF">2019-03-28T17:34:32Z</dcterms:modified>
  <cp:revision>6</cp:revision>
  <dc:title>PROYECTO DE ORDENANZA VIOLENCIA FAMILIAR</dc:title>
</cp:coreProperties>
</file>