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B72B40" Type="http://schemas.openxmlformats.org/officeDocument/2006/relationships/officeDocument" Target="/word/document.xml" /><Relationship Id="coreR5AB72B4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894</w:t>
      </w:r>
      <w:r>
        <w:rPr>
          <w:rStyle w:val="C3"/>
          <w:rFonts w:ascii="Courier New" w:hAnsi="Courier New"/>
          <w:b w:val="1"/>
          <w:u w:val="single"/>
        </w:rPr>
        <w:t>9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486/I/10;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Rodríguez Marcela de las Mercedes DNI 20.575.730 solicita eximición de la deuda que en concepto de Tasa por Servicios a la Propiedad mantiene con la Municipalidad de Alta Gracia el inmueble Designación Catastral 03-01-117-011 Cta.00004666;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 adjunta cédula de notificación en donde se noticia que se han iniciado acciones judiciales;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de referencia se encuentra a nombre de la Sra. Luna Elba Alicia, madre de la solicitante, la cual ha fallecido;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Fs.23 a 26 la peticionante acredita filiación con la titular del inmueble;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el grupo familiar percibe módulo alimentario, ocupan una vivienda de reducidas dimensiones en función del número de habitantes;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Fs.34, Sección Catastro informa que la solicitante y su grupo familiar no se registran como titulares de inmuebles;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en un CIEN POR CIENTO (100%) de la deuda que hasta la promulgación de la presente mantiene con la Municipalidad de Alta Gracia  en concepto de Tasa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ervicios a la Propiedad el inmueble Designación Catastral 03-01-117-011 Cta.00004666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SOLICÍTAR </w:t>
      </w:r>
      <w:r>
        <w:rPr>
          <w:rStyle w:val="C3"/>
          <w:rFonts w:ascii="Courier New" w:hAnsi="Courier New"/>
          <w:b w:val="0"/>
          <w:sz w:val="24"/>
        </w:rPr>
        <w:t>al Sr. Intendente, interceda ante el o los procuradores actuantes,</w:t>
      </w:r>
      <w:r>
        <w:rPr>
          <w:rStyle w:val="C3"/>
          <w:rFonts w:ascii="Courier New" w:hAnsi="Courier New"/>
          <w:b w:val="0"/>
          <w:sz w:val="24"/>
        </w:rPr>
        <w:t xml:space="preserve"> en particular al abogado Matricula Profesional N°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27436 en virtud de lo establecido en la cláusula 13° del convenio de partes oportunamente celebrado</w:t>
      </w:r>
      <w:r>
        <w:rPr>
          <w:rStyle w:val="C3"/>
          <w:rFonts w:ascii="Courier New" w:hAnsi="Courier New"/>
          <w:b w:val="0"/>
          <w:sz w:val="24"/>
        </w:rPr>
        <w:t xml:space="preserve">  a fin de dejar sin efecto el o los juicios iniciados y honorarios generados,  exceptuando gastos y derechos de ley a tales fines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B118EB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DCC30D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96FC82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22EEE1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DFC1A5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F72589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037A3C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093C3C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BD7043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BCC4FD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259AA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16AC1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FB7989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F164E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3D0A09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41B08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FD30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96E9B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960AD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40FB92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18E6F6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AF5A7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8CF6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143A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E8929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8C37A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AB7EF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95B64A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82BE65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318A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17B55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1468B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F6FEE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731A0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8E5D59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2AD1D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F19B07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CAA8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2052A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906E7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C6B9F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26B23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0B9B8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3BF6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E0E8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C5B772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2011-06-13T12:57:00Z</dcterms:created>
  <cp:lastModifiedBy>Ethan Puglia</cp:lastModifiedBy>
  <cp:lastPrinted>2011-06-27T15:06:00Z</cp:lastPrinted>
  <dcterms:modified xsi:type="dcterms:W3CDTF">2019-03-28T17:34:32Z</dcterms:modified>
  <cp:revision>6</cp:revision>
  <dc:title>PROYECTO DE ORDENANZA VIOLENCIA FAMILIAR</dc:title>
</cp:coreProperties>
</file>