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3B9FF3" Type="http://schemas.openxmlformats.org/officeDocument/2006/relationships/officeDocument" Target="/word/document.xml" /><Relationship Id="coreR793B9FF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1"/>
        <w:jc w:val="center"/>
        <w:outlineLvl w:val="2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N° </w:t>
      </w:r>
      <w:r>
        <w:rPr>
          <w:rStyle w:val="C3"/>
          <w:rFonts w:ascii="Courier New" w:hAnsi="Courier New"/>
          <w:b w:val="1"/>
          <w:u w:val="single"/>
        </w:rPr>
        <w:t>895</w:t>
      </w:r>
      <w:r>
        <w:rPr>
          <w:rStyle w:val="C3"/>
          <w:rFonts w:ascii="Courier New" w:hAnsi="Courier New"/>
          <w:b w:val="1"/>
          <w:u w:val="single"/>
        </w:rPr>
        <w:t>7</w:t>
      </w:r>
    </w:p>
    <w:p>
      <w:pPr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573/11; y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keepNext w:val="1"/>
        <w:jc w:val="center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el Sr. Atilio Alberto Domínguez, solicita eximición de la deuda que en concepto de Tasa por Servicios a la Propiedad mantiene con la Municipalidad de Alta Gracia el inmueble Designación Catastral 01-01-015-010 Cta.00002212 y Obra de Cloacas, Cta. 00859;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a Fs.4, que el solicitante no se registra como titular del inmueble;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 se adjunta copia de recibo de haberes donde se verifica que su ingreso mensual es mínimo;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Fs.8/9 obra certificado expedido por el personal del Hospital Dr. Arturo Illia mediante el cual el solicitante posee una incapacidad laboral NOVENTA POR CIENTO (90%);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Fs.13/16 se acredita filiación del peticionante con el titular del inmueble;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el solicitante se ubica por debajo de la línea de la pobreza, dado a que con sus ingresos no alcanza a cubrir la canasta básica alimentaria;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Expediente de referencia, por la Comisión de Hacienda, la misma emite despacho favorable, aprobado por unanimidad, en Sesión Ordinaria del día 08 de Junio de 2011;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74" w:left="374"/>
        <w:jc w:val="right"/>
        <w:rPr>
          <w:rStyle w:val="C3"/>
          <w:rFonts w:ascii="Courier New" w:hAnsi="Courier New"/>
        </w:rPr>
      </w:pPr>
    </w:p>
    <w:p>
      <w:pPr>
        <w:ind w:hanging="374" w:left="374"/>
        <w:jc w:val="right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color w:val="000000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color w:val="000000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color w:val="000000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color w:val="000000"/>
          <w:sz w:val="24"/>
          <w:u w:val="single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ALTA GRACIA SANCIONA CON FUERZA DE ORDENANZA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color w:val="000000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color w:val="000000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color w:val="000000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color w:val="000000"/>
          <w:sz w:val="24"/>
          <w:u w:val="single"/>
        </w:rPr>
        <w:t>Art.1</w:t>
      </w:r>
      <w:r>
        <w:rPr>
          <w:rStyle w:val="C3"/>
          <w:rFonts w:ascii="Courier New" w:hAnsi="Courier New"/>
          <w:color w:val="00000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>FIJAR</w:t>
      </w:r>
      <w:r>
        <w:rPr>
          <w:rStyle w:val="C3"/>
          <w:rFonts w:ascii="Courier New" w:hAnsi="Courier New"/>
          <w:b w:val="0"/>
          <w:sz w:val="24"/>
        </w:rPr>
        <w:t xml:space="preserve"> una quita del </w:t>
      </w:r>
      <w:r>
        <w:rPr>
          <w:rStyle w:val="C3"/>
          <w:rFonts w:ascii="Courier New" w:hAnsi="Courier New"/>
          <w:b w:val="0"/>
          <w:sz w:val="24"/>
        </w:rPr>
        <w:t>SETENTA POR CIENTO (</w:t>
      </w:r>
      <w:r>
        <w:rPr>
          <w:rStyle w:val="C3"/>
          <w:rFonts w:ascii="Courier New" w:hAnsi="Courier New"/>
          <w:b w:val="0"/>
          <w:sz w:val="24"/>
        </w:rPr>
        <w:t>70%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en el valor de la cuota mensual </w:t>
      </w:r>
      <w:r>
        <w:rPr>
          <w:rStyle w:val="C3"/>
          <w:rFonts w:ascii="Courier New" w:hAnsi="Courier New"/>
          <w:b w:val="0"/>
          <w:sz w:val="24"/>
        </w:rPr>
        <w:t>que</w:t>
      </w:r>
      <w:r>
        <w:rPr>
          <w:rStyle w:val="C3"/>
          <w:rFonts w:ascii="Courier New" w:hAnsi="Courier New"/>
          <w:b w:val="0"/>
          <w:sz w:val="24"/>
        </w:rPr>
        <w:t xml:space="preserve"> en concepto de Tasa por Servicios a la Propiedad recae sobre el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01-01-015-010 Cta.00002212, desde el período 01/11 y por el término de DOS </w:t>
      </w:r>
      <w:r>
        <w:rPr>
          <w:rStyle w:val="C3"/>
          <w:rFonts w:ascii="Courier New" w:hAnsi="Courier New"/>
          <w:b w:val="0"/>
          <w:sz w:val="24"/>
        </w:rPr>
        <w:t xml:space="preserve">(2) </w:t>
      </w:r>
      <w:r>
        <w:rPr>
          <w:rStyle w:val="C3"/>
          <w:rFonts w:ascii="Courier New" w:hAnsi="Courier New"/>
          <w:b w:val="0"/>
          <w:sz w:val="24"/>
        </w:rPr>
        <w:t xml:space="preserve">años, momento en el que se deberá realizar un nuevo </w:t>
      </w:r>
      <w:r>
        <w:rPr>
          <w:rStyle w:val="C3"/>
          <w:rFonts w:ascii="Courier New" w:hAnsi="Courier New"/>
          <w:b w:val="0"/>
          <w:sz w:val="24"/>
        </w:rPr>
        <w:t>R</w:t>
      </w:r>
      <w:r>
        <w:rPr>
          <w:rStyle w:val="C3"/>
          <w:rFonts w:ascii="Courier New" w:hAnsi="Courier New"/>
          <w:b w:val="0"/>
          <w:sz w:val="24"/>
        </w:rPr>
        <w:t xml:space="preserve">elevamiento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 xml:space="preserve">ocioeconómico </w:t>
      </w:r>
      <w:r>
        <w:rPr>
          <w:rStyle w:val="C3"/>
          <w:rFonts w:ascii="Courier New" w:hAnsi="Courier New"/>
          <w:b w:val="0"/>
          <w:sz w:val="24"/>
        </w:rPr>
        <w:t xml:space="preserve">y Ambiental </w:t>
      </w:r>
      <w:r>
        <w:rPr>
          <w:rStyle w:val="C3"/>
          <w:rFonts w:ascii="Courier New" w:hAnsi="Courier New"/>
          <w:b w:val="0"/>
          <w:sz w:val="24"/>
        </w:rPr>
        <w:t>y de prevalecer la situación actual extender el beneficio por iguales y consecutivos períodos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>la deuda que por obra de cloacas posee con la Municipalidad de Alta Gracia, la cuenta Nº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00859 a la fecha de promulgación de la presente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 xml:space="preserve">: EL </w:t>
      </w:r>
      <w:r>
        <w:rPr>
          <w:rStyle w:val="C3"/>
          <w:rFonts w:ascii="Courier New" w:hAnsi="Courier New"/>
          <w:b w:val="0"/>
          <w:sz w:val="24"/>
        </w:rPr>
        <w:t>beneficio concedido tendrá vigencia mientras el solicitante habite dicho inmueble y caducará automáticamente en caso de venta o transferencia de la propiedad;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</w:t>
      </w:r>
      <w:r>
        <w:rPr>
          <w:rStyle w:val="C3"/>
          <w:rFonts w:ascii="Courier New" w:hAnsi="Courier New"/>
          <w:b w:val="1"/>
          <w:color w:val="000000"/>
          <w:u w:val="single"/>
        </w:rPr>
        <w:t>4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113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OCHO DÍAS DEL MES DE JUNIO DEL AÑO DOS MIL ONCE.- </w:t>
      </w:r>
    </w:p>
    <w:p>
      <w:pPr>
        <w:pStyle w:val="P17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1ED4F9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0C86F1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B193A6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67D98D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24CFA6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F81A5E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6EC822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3B2E69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9F1B26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0B5C30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4D39CA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107722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B253AD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B3FB19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56FC50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35ACBD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0204E5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4C7065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3C1164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33CF8C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B4623B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85A52B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B1400D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7FA553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7B3EBD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F844FA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0B3C65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6B20B17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A896DC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A3612F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743610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732A2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0A868F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9D5BE4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74202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D47245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4ED2D1B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4EB933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8E5D7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B6E5B4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4621A8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C0D193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129301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2E988A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871F14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07D5F9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4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Título 3 Car"/>
    <w:link w:val="P4"/>
    <w:rPr>
      <w:rFonts w:ascii="Courier New" w:hAnsi="Courier New"/>
      <w:b w:val="1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2011-06-16T12:11:00Z</dcterms:created>
  <cp:lastModifiedBy>Ethan Puglia</cp:lastModifiedBy>
  <cp:lastPrinted>2011-06-27T13:49:00Z</cp:lastPrinted>
  <dcterms:modified xsi:type="dcterms:W3CDTF">2019-03-28T17:34:32Z</dcterms:modified>
  <cp:revision>6</cp:revision>
  <dc:title>PROYECTO DE ORDENANZA VIOLENCIA FAMILIAR</dc:title>
</cp:coreProperties>
</file>