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2E7978F6" Type="http://schemas.openxmlformats.org/officeDocument/2006/relationships/officeDocument" Target="/word/document.xml" /><Relationship Id="coreR2E7978F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8979</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Programa Federal Plurianual de Construcción de Viviendas “Hogar Clase Media” y la frustrada concreción en nuestra Ciudad;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ind w:left="426"/>
        <w:jc w:val="both"/>
        <w:rPr>
          <w:rStyle w:val="C3"/>
          <w:rFonts w:ascii="Courier New" w:hAnsi="Courier New"/>
        </w:rPr>
      </w:pPr>
      <w:r>
        <w:rPr>
          <w:rStyle w:val="C3"/>
          <w:rFonts w:ascii="Courier New" w:hAnsi="Courier New"/>
        </w:rPr>
        <w:t>Que la Municipalidad de Alta Gracia, ha comprado tierras para la ejecución de las viviendas del Programa Federal Plurianual de Construcción de Viviendas “Hogar Clase Media” en el Barrio Parque Virrey;</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proyecto de subdivisión que realiza la Municipalidad de Alta Gracia obrante en el Expediente Nº 213/I/06, de esas tierras, se logran obtener SETENTA Y CINCO (75) lotes;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debido al retraso en comenzar las viviendas los lotes son objetos de ocupaciones ilegales, teniendo la Municipalidad que radicar las denuncias correspondientes;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no se puede seguir, después de CINCO (5) años, alimentando esperanzas y expectativas en la gente. Al no haberse obtenido respuestas del Gobierno Provincial respecto a la ejecución del plan de viviendas del Hogar Clase Media ni del Gobierno de la Nación, que es el responsable de enviar los fondos, tampoco se reorganizó y replanteó alguna alternativa para que este plan se ejecute en nuestra Provincia;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las personas sorteadas se han organizado y están ilusionadas en avanzar hacia la vivienda  propia, esta vez, sin asistencia de los Gobiernos de la Nación y Provincia;</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esta iniciativa debe ser acompañada por la Municipalidad de Alta Gracia, generando entre todos una alternativa posible;</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la posibilidad de disponer de la titularidad de la tierra es un importante avance  para acceder a la vivienda, debiendo los beneficiarios, acudir a un crédito bancario para concretarla definitivamente;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la Municipalidad de Alta Gracia, adquirió las tierras para el programa de viviendas “Hogar Clase Media” mediante Escritura Numero DOSCIENTOS CUARENTA (240) de fecha 29 de Septiembre del 2006;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han mantenido reuniones con representantes de los beneficiarios del plan, quienes han manifestado la necesidad de adquirir los terrenos a los fines de lograr por iniciativa propia concretar la vivienda;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un acto de estricta justicia, debido la frustrada concreción del Programa de Viviendas “Hogar Clase Media”, vender a las personas sorteadas los lotes adquiridos por la Municipalidad de Alta Gracia;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el Concejo en Comisión, el mismo emite despacho favorable, con modificaciones, aprobado por unanimidad en Sesión Ordinaria del día 22 de Junio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w:t>
      </w:r>
      <w:r>
        <w:rPr>
          <w:rStyle w:val="C3"/>
          <w:rFonts w:ascii="Courier New" w:hAnsi="Courier New"/>
          <w:b w:val="1"/>
        </w:rPr>
        <w:t xml:space="preserve"> </w:t>
      </w:r>
      <w:r>
        <w:rPr>
          <w:rStyle w:val="C3"/>
          <w:rFonts w:ascii="Courier New" w:hAnsi="Courier New"/>
          <w:b w:val="1"/>
        </w:rPr>
        <w:t>AUTORIZASE</w:t>
      </w:r>
      <w:r>
        <w:rPr>
          <w:rStyle w:val="C3"/>
          <w:rFonts w:ascii="Courier New" w:hAnsi="Courier New"/>
        </w:rPr>
        <w:t xml:space="preserve"> al Departamento Ejecutivo Municipal a suscribir con las personas sorteadas en el Programa Federal Plurianual de Construcción de Viviendas “Hogar Clase Media”, que no sean propietarias, contrato de compraventa de los lotes pertenecientes a la Municipalidad de Alta Gracia, adquiridos mediante Escritura Numero DOSCIENTOS CUARENTA (240) de fecha 29 de Septiembre  del  2006,  ubicados en el Barrio Parque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del Virrey y que surjan de la mensura, unión y subdivisión según el proyecto elaborado por la Municipalidad de Alta Gracia obrante en el Expediente Nº 213/I/06, en las condiciones y modalidades específicas determinadas en la presente Ordenanza.-</w:t>
      </w:r>
    </w:p>
    <w:p>
      <w:pPr>
        <w:ind w:hanging="29" w:left="142"/>
        <w:jc w:val="both"/>
        <w:rPr>
          <w:rStyle w:val="C3"/>
          <w:rFonts w:ascii="Courier New" w:hAnsi="Courier New"/>
        </w:rPr>
      </w:pPr>
    </w:p>
    <w:p>
      <w:pPr>
        <w:ind w:hanging="313"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DETERMINASE</w:t>
      </w:r>
      <w:r>
        <w:rPr>
          <w:rStyle w:val="C3"/>
          <w:rFonts w:ascii="Courier New" w:hAnsi="Courier New"/>
        </w:rPr>
        <w:t xml:space="preserve"> las siguientes condiciones y modalidades: </w:t>
      </w:r>
      <w:r>
        <w:rPr>
          <w:rStyle w:val="C3"/>
          <w:rFonts w:ascii="Courier New" w:hAnsi="Courier New"/>
          <w:b w:val="1"/>
          <w:u w:val="single"/>
        </w:rPr>
        <w:t>PERSONAS BENEFICIADAS</w:t>
      </w:r>
      <w:r>
        <w:rPr>
          <w:rStyle w:val="C3"/>
          <w:rFonts w:ascii="Courier New" w:hAnsi="Courier New"/>
          <w:b w:val="1"/>
        </w:rPr>
        <w:t>:</w:t>
      </w:r>
      <w:r>
        <w:rPr>
          <w:rStyle w:val="C3"/>
          <w:rFonts w:ascii="Courier New" w:hAnsi="Courier New"/>
        </w:rPr>
        <w:t xml:space="preserve"> deberán ofrecerse los lotes objetos de la presente Ordenanza en primer lugar a las personas sorteadas del Programa Federal Plurianual de Construcción de Viviendas “Hogar Clase Media” titulares, luego a las suplentes y finalmente a los titulares de Expedientes de solicitud de lotes que no sean propietarios. En caso de no aceptar la oferta deberá manifestar por escrito la renuncia correspondiente a la misma. Para los supuestos de separación de uniones de hecho, deberán por escrito ambos integrantes de la pareja manifestar a nombre de quien se realizará la venta siempre y cuando la misma haya integrado el grupo familiar conviviente al día del sorteo. </w:t>
      </w:r>
      <w:r>
        <w:rPr>
          <w:rStyle w:val="C3"/>
          <w:rFonts w:ascii="Courier New" w:hAnsi="Courier New"/>
          <w:b w:val="1"/>
          <w:u w:val="single"/>
        </w:rPr>
        <w:t>PRECIO TOTAL DE VENTA</w:t>
      </w:r>
      <w:r>
        <w:rPr>
          <w:rStyle w:val="C3"/>
          <w:rFonts w:ascii="Courier New" w:hAnsi="Courier New"/>
        </w:rPr>
        <w:t xml:space="preserve">: se conformará, por el monto total y único de PESOS OCHO MIL ($8.000). </w:t>
      </w:r>
      <w:r>
        <w:rPr>
          <w:rStyle w:val="C3"/>
          <w:rFonts w:ascii="Courier New" w:hAnsi="Courier New"/>
          <w:b w:val="1"/>
          <w:u w:val="single"/>
        </w:rPr>
        <w:t>PAGO CONTADO</w:t>
      </w:r>
      <w:r>
        <w:rPr>
          <w:rStyle w:val="C3"/>
          <w:rFonts w:ascii="Courier New" w:hAnsi="Courier New"/>
          <w:b w:val="1"/>
        </w:rPr>
        <w:t>:</w:t>
      </w:r>
      <w:r>
        <w:rPr>
          <w:rStyle w:val="C3"/>
          <w:rFonts w:ascii="Courier New" w:hAnsi="Courier New"/>
        </w:rPr>
        <w:t xml:space="preserve"> es el precio de venta en efectivo el día de la suscripción del correspondiente contrato de compraventa. </w:t>
      </w:r>
      <w:r>
        <w:rPr>
          <w:rStyle w:val="C3"/>
          <w:rFonts w:ascii="Courier New" w:hAnsi="Courier New"/>
          <w:b w:val="1"/>
          <w:u w:val="single"/>
        </w:rPr>
        <w:t>PAGO EN CUOTAS</w:t>
      </w:r>
      <w:r>
        <w:rPr>
          <w:rStyle w:val="C3"/>
          <w:rFonts w:ascii="Courier New" w:hAnsi="Courier New"/>
          <w:b w:val="1"/>
        </w:rPr>
        <w:t>:</w:t>
      </w:r>
      <w:r>
        <w:rPr>
          <w:rStyle w:val="C3"/>
          <w:rFonts w:ascii="Courier New" w:hAnsi="Courier New"/>
        </w:rPr>
        <w:t xml:space="preserve"> se podrá optar por el pago en SEIS (6) cuotas iguales y consecutivas, quedando facultado el Departamento Ejecutivo para aplicar los intereses correspondientes a la tasa pasiva que utiliza el Banco de la Provincia de Córdoba; asimismo extender la cantidad de las cuotas para los casos justificados por informe socioeconómico. </w:t>
      </w:r>
      <w:r>
        <w:rPr>
          <w:rStyle w:val="C3"/>
          <w:rFonts w:ascii="Courier New" w:hAnsi="Courier New"/>
          <w:b w:val="1"/>
          <w:u w:val="single"/>
        </w:rPr>
        <w:t>FIRMA DEL CONTRATO - PLAZO</w:t>
      </w:r>
      <w:r>
        <w:rPr>
          <w:rStyle w:val="C3"/>
          <w:rFonts w:ascii="Courier New" w:hAnsi="Courier New"/>
          <w:b w:val="1"/>
        </w:rPr>
        <w:t>:</w:t>
      </w:r>
      <w:r>
        <w:rPr>
          <w:rStyle w:val="C3"/>
          <w:rFonts w:ascii="Courier New" w:hAnsi="Courier New"/>
        </w:rPr>
        <w:t xml:space="preserve"> desde la notificación de la presente Ordenanza las personas sorteadas, tendrán un plazo máximo improrrogable de TREINTA (30) días corridos para firmar el contrato de compraventa con la Municipalidad en caso de optar por el pago en cuotas deberán abonar en ese acto, la correspondiente a la primera.  </w:t>
      </w:r>
      <w:r>
        <w:rPr>
          <w:rStyle w:val="C3"/>
          <w:rFonts w:ascii="Courier New" w:hAnsi="Courier New"/>
          <w:b w:val="1"/>
          <w:u w:val="single"/>
        </w:rPr>
        <w:t>COMPROMISO DEL ADQUIRENTE</w:t>
      </w:r>
      <w:r>
        <w:rPr>
          <w:rStyle w:val="C3"/>
          <w:rFonts w:ascii="Courier New" w:hAnsi="Courier New"/>
          <w:b w:val="1"/>
        </w:rPr>
        <w:t>:</w:t>
      </w:r>
      <w:r>
        <w:rPr>
          <w:rStyle w:val="C3"/>
          <w:rFonts w:ascii="Courier New" w:hAnsi="Courier New"/>
        </w:rPr>
        <w:t xml:space="preserve"> El adquirente deberá comprometerse por escrito en el contrato de compraventa, a que construirá en el terreno únicamente su vivienda familiar en el término  máximo  de  DIECIOCHO (18) meses una superficie </w:t>
      </w:r>
    </w:p>
    <w:p>
      <w:pPr>
        <w:ind w:hanging="313" w:left="426"/>
        <w:jc w:val="right"/>
        <w:rPr>
          <w:rStyle w:val="C3"/>
          <w:rFonts w:ascii="Courier New" w:hAnsi="Courier New"/>
        </w:rPr>
      </w:pPr>
      <w:r>
        <w:rPr>
          <w:rStyle w:val="C3"/>
          <w:rFonts w:ascii="Courier New" w:hAnsi="Courier New"/>
        </w:rPr>
        <w:t>...///</w:t>
      </w:r>
    </w:p>
    <w:p>
      <w:pPr>
        <w:ind w:hanging="313" w:left="426"/>
        <w:jc w:val="right"/>
        <w:rPr>
          <w:rStyle w:val="C3"/>
          <w:rFonts w:ascii="Courier New" w:hAnsi="Courier New"/>
        </w:rPr>
      </w:pPr>
    </w:p>
    <w:p>
      <w:pPr>
        <w:ind w:hanging="313" w:left="426"/>
        <w:jc w:val="right"/>
        <w:rPr>
          <w:rStyle w:val="C3"/>
          <w:rFonts w:ascii="Courier New" w:hAnsi="Courier New"/>
        </w:rPr>
      </w:pPr>
    </w:p>
    <w:p>
      <w:pPr>
        <w:ind w:hanging="313" w:left="426"/>
        <w:jc w:val="right"/>
        <w:rPr>
          <w:rStyle w:val="C3"/>
          <w:rFonts w:ascii="Courier New" w:hAnsi="Courier New"/>
        </w:rPr>
      </w:pPr>
    </w:p>
    <w:p>
      <w:pPr>
        <w:ind w:hanging="313"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mínima de veinticinco metros cuadrados (25m2) de acuerdo a plano municipal y que no transferirá ni cederá el uso y goce de la propiedad por el término de DIEZ (10) años. Debiendo  el  Departamento  Ejecutivo   establecer  las cláusulas penales que garanticen las condiciones establecidas en la presente Ordenanza. </w:t>
      </w:r>
      <w:r>
        <w:rPr>
          <w:rStyle w:val="C3"/>
          <w:rFonts w:ascii="Courier New" w:hAnsi="Courier New"/>
          <w:b w:val="1"/>
          <w:u w:val="single"/>
        </w:rPr>
        <w:t>ESCRITURACION</w:t>
      </w:r>
      <w:r>
        <w:rPr>
          <w:rStyle w:val="C3"/>
          <w:rFonts w:ascii="Courier New" w:hAnsi="Courier New"/>
          <w:b w:val="1"/>
        </w:rPr>
        <w:t>:</w:t>
      </w:r>
      <w:r>
        <w:rPr>
          <w:rStyle w:val="C3"/>
          <w:rFonts w:ascii="Courier New" w:hAnsi="Courier New"/>
        </w:rPr>
        <w:t xml:space="preserve"> los gastos que se produzcan para la transferencia Escritura Traslativa de Dominio, correrán por cuenta del adquiriente.-</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DEBERA</w:t>
      </w:r>
      <w:r>
        <w:rPr>
          <w:rStyle w:val="C3"/>
          <w:rFonts w:ascii="Courier New" w:hAnsi="Courier New"/>
        </w:rPr>
        <w:t xml:space="preserve"> el Departamento Ejecutivo través de las Áreas Técnicas Municipales correspondientes, realizar todas las mensuras, uniones y subdivisiones necesarias a los fines de dar cumplimiento a lo fijado en los artículos precedentes, en un todo de acuerdo al proyecto elaborado por la Municipalidad de Alta Gracia obrante en el Expediente Nº 213/I/06.-</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Art.4</w:t>
      </w:r>
      <w:r>
        <w:rPr>
          <w:rStyle w:val="C3"/>
          <w:rFonts w:ascii="Courier New" w:hAnsi="Courier New"/>
          <w:b w:val="1"/>
        </w:rPr>
        <w:t>:</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presente Ordenanza entrará en vigencia en la fecha en que se dicte su Decreto promulgatorio, y en un todo de conformidad a lo establecido en el Art.24º de la Carta Orgánica Municipal.-</w:t>
      </w:r>
    </w:p>
    <w:p>
      <w:pPr>
        <w:ind w:hanging="29" w:left="142"/>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VEINTIDÓS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color w:val="FFFFFF"/>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7A76B8E9">
      <w:start w:val="0"/>
      <w:numFmt w:val="bullet"/>
      <w:suff w:val="tab"/>
      <w:lvlText w:val=""/>
      <w:lvlJc w:val="left"/>
      <w:pPr>
        <w:ind w:hanging="360" w:left="786"/>
      </w:pPr>
      <w:rPr>
        <w:rFonts w:ascii="Symbol" w:hAnsi="Symbol"/>
      </w:rPr>
    </w:lvl>
    <w:lvl w:ilvl="1" w:tplc="4499A1D7">
      <w:start w:val="1"/>
      <w:numFmt w:val="bullet"/>
      <w:suff w:val="tab"/>
      <w:lvlText w:val="o"/>
      <w:lvlJc w:val="left"/>
      <w:pPr>
        <w:ind w:hanging="360" w:left="1506"/>
      </w:pPr>
      <w:rPr>
        <w:rFonts w:ascii="Courier New" w:hAnsi="Courier New"/>
      </w:rPr>
    </w:lvl>
    <w:lvl w:ilvl="2" w:tplc="625BB175">
      <w:start w:val="1"/>
      <w:numFmt w:val="bullet"/>
      <w:suff w:val="tab"/>
      <w:lvlText w:val=""/>
      <w:lvlJc w:val="left"/>
      <w:pPr>
        <w:ind w:hanging="360" w:left="2226"/>
      </w:pPr>
      <w:rPr>
        <w:rFonts w:ascii="Wingdings" w:hAnsi="Wingdings"/>
      </w:rPr>
    </w:lvl>
    <w:lvl w:ilvl="3" w:tplc="58384477">
      <w:start w:val="1"/>
      <w:numFmt w:val="bullet"/>
      <w:suff w:val="tab"/>
      <w:lvlText w:val=""/>
      <w:lvlJc w:val="left"/>
      <w:pPr>
        <w:ind w:hanging="360" w:left="2946"/>
      </w:pPr>
      <w:rPr>
        <w:rFonts w:ascii="Symbol" w:hAnsi="Symbol"/>
      </w:rPr>
    </w:lvl>
    <w:lvl w:ilvl="4" w:tplc="2E0B199B">
      <w:start w:val="1"/>
      <w:numFmt w:val="bullet"/>
      <w:suff w:val="tab"/>
      <w:lvlText w:val="o"/>
      <w:lvlJc w:val="left"/>
      <w:pPr>
        <w:ind w:hanging="360" w:left="3666"/>
      </w:pPr>
      <w:rPr>
        <w:rFonts w:ascii="Courier New" w:hAnsi="Courier New"/>
      </w:rPr>
    </w:lvl>
    <w:lvl w:ilvl="5" w:tplc="08F685CC">
      <w:start w:val="1"/>
      <w:numFmt w:val="bullet"/>
      <w:suff w:val="tab"/>
      <w:lvlText w:val=""/>
      <w:lvlJc w:val="left"/>
      <w:pPr>
        <w:ind w:hanging="360" w:left="4386"/>
      </w:pPr>
      <w:rPr>
        <w:rFonts w:ascii="Wingdings" w:hAnsi="Wingdings"/>
      </w:rPr>
    </w:lvl>
    <w:lvl w:ilvl="6" w:tplc="12200213">
      <w:start w:val="1"/>
      <w:numFmt w:val="bullet"/>
      <w:suff w:val="tab"/>
      <w:lvlText w:val=""/>
      <w:lvlJc w:val="left"/>
      <w:pPr>
        <w:ind w:hanging="360" w:left="5106"/>
      </w:pPr>
      <w:rPr>
        <w:rFonts w:ascii="Symbol" w:hAnsi="Symbol"/>
      </w:rPr>
    </w:lvl>
    <w:lvl w:ilvl="7" w:tplc="5D5D29E5">
      <w:start w:val="1"/>
      <w:numFmt w:val="bullet"/>
      <w:suff w:val="tab"/>
      <w:lvlText w:val="o"/>
      <w:lvlJc w:val="left"/>
      <w:pPr>
        <w:ind w:hanging="360" w:left="5826"/>
      </w:pPr>
      <w:rPr>
        <w:rFonts w:ascii="Courier New" w:hAnsi="Courier New"/>
      </w:rPr>
    </w:lvl>
    <w:lvl w:ilvl="8" w:tplc="0BB1AB5E">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42236510">
      <w:start w:val="0"/>
      <w:numFmt w:val="bullet"/>
      <w:suff w:val="tab"/>
      <w:lvlText w:val=""/>
      <w:lvlJc w:val="left"/>
      <w:pPr>
        <w:ind w:hanging="360" w:left="927"/>
      </w:pPr>
      <w:rPr>
        <w:rFonts w:ascii="Symbol" w:hAnsi="Symbol"/>
      </w:rPr>
    </w:lvl>
    <w:lvl w:ilvl="1" w:tplc="2D6316CE">
      <w:start w:val="1"/>
      <w:numFmt w:val="bullet"/>
      <w:suff w:val="tab"/>
      <w:lvlText w:val="o"/>
      <w:lvlJc w:val="left"/>
      <w:pPr>
        <w:ind w:hanging="360" w:left="1647"/>
      </w:pPr>
      <w:rPr>
        <w:rFonts w:ascii="Courier New" w:hAnsi="Courier New"/>
      </w:rPr>
    </w:lvl>
    <w:lvl w:ilvl="2" w:tplc="7ABA2EF1">
      <w:start w:val="1"/>
      <w:numFmt w:val="bullet"/>
      <w:suff w:val="tab"/>
      <w:lvlText w:val=""/>
      <w:lvlJc w:val="left"/>
      <w:pPr>
        <w:ind w:hanging="360" w:left="2367"/>
      </w:pPr>
      <w:rPr>
        <w:rFonts w:ascii="Wingdings" w:hAnsi="Wingdings"/>
      </w:rPr>
    </w:lvl>
    <w:lvl w:ilvl="3" w:tplc="27506A59">
      <w:start w:val="1"/>
      <w:numFmt w:val="bullet"/>
      <w:suff w:val="tab"/>
      <w:lvlText w:val=""/>
      <w:lvlJc w:val="left"/>
      <w:pPr>
        <w:ind w:hanging="360" w:left="3087"/>
      </w:pPr>
      <w:rPr>
        <w:rFonts w:ascii="Symbol" w:hAnsi="Symbol"/>
      </w:rPr>
    </w:lvl>
    <w:lvl w:ilvl="4" w:tplc="4BB3793C">
      <w:start w:val="1"/>
      <w:numFmt w:val="bullet"/>
      <w:suff w:val="tab"/>
      <w:lvlText w:val="o"/>
      <w:lvlJc w:val="left"/>
      <w:pPr>
        <w:ind w:hanging="360" w:left="3807"/>
      </w:pPr>
      <w:rPr>
        <w:rFonts w:ascii="Courier New" w:hAnsi="Courier New"/>
      </w:rPr>
    </w:lvl>
    <w:lvl w:ilvl="5" w:tplc="767F6002">
      <w:start w:val="1"/>
      <w:numFmt w:val="bullet"/>
      <w:suff w:val="tab"/>
      <w:lvlText w:val=""/>
      <w:lvlJc w:val="left"/>
      <w:pPr>
        <w:ind w:hanging="360" w:left="4527"/>
      </w:pPr>
      <w:rPr>
        <w:rFonts w:ascii="Wingdings" w:hAnsi="Wingdings"/>
      </w:rPr>
    </w:lvl>
    <w:lvl w:ilvl="6" w:tplc="104FFCFC">
      <w:start w:val="1"/>
      <w:numFmt w:val="bullet"/>
      <w:suff w:val="tab"/>
      <w:lvlText w:val=""/>
      <w:lvlJc w:val="left"/>
      <w:pPr>
        <w:ind w:hanging="360" w:left="5247"/>
      </w:pPr>
      <w:rPr>
        <w:rFonts w:ascii="Symbol" w:hAnsi="Symbol"/>
      </w:rPr>
    </w:lvl>
    <w:lvl w:ilvl="7" w:tplc="2DC43F3C">
      <w:start w:val="1"/>
      <w:numFmt w:val="bullet"/>
      <w:suff w:val="tab"/>
      <w:lvlText w:val="o"/>
      <w:lvlJc w:val="left"/>
      <w:pPr>
        <w:ind w:hanging="360" w:left="5967"/>
      </w:pPr>
      <w:rPr>
        <w:rFonts w:ascii="Courier New" w:hAnsi="Courier New"/>
      </w:rPr>
    </w:lvl>
    <w:lvl w:ilvl="8" w:tplc="16799347">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187EC69C">
      <w:start w:val="1"/>
      <w:numFmt w:val="bullet"/>
      <w:suff w:val="tab"/>
      <w:lvlText w:val=""/>
      <w:lvlJc w:val="left"/>
      <w:pPr>
        <w:ind w:hanging="360" w:left="1146"/>
      </w:pPr>
      <w:rPr>
        <w:rFonts w:ascii="Symbol" w:hAnsi="Symbol"/>
      </w:rPr>
    </w:lvl>
    <w:lvl w:ilvl="1" w:tplc="0106B138">
      <w:start w:val="1"/>
      <w:numFmt w:val="bullet"/>
      <w:suff w:val="tab"/>
      <w:lvlText w:val="o"/>
      <w:lvlJc w:val="left"/>
      <w:pPr>
        <w:ind w:hanging="360" w:left="1866"/>
      </w:pPr>
      <w:rPr>
        <w:rFonts w:ascii="Courier New" w:hAnsi="Courier New"/>
      </w:rPr>
    </w:lvl>
    <w:lvl w:ilvl="2" w:tplc="5594DC4F">
      <w:start w:val="1"/>
      <w:numFmt w:val="bullet"/>
      <w:suff w:val="tab"/>
      <w:lvlText w:val=""/>
      <w:lvlJc w:val="left"/>
      <w:pPr>
        <w:ind w:hanging="360" w:left="2586"/>
      </w:pPr>
      <w:rPr>
        <w:rFonts w:ascii="Wingdings" w:hAnsi="Wingdings"/>
      </w:rPr>
    </w:lvl>
    <w:lvl w:ilvl="3" w:tplc="3520A738">
      <w:start w:val="1"/>
      <w:numFmt w:val="bullet"/>
      <w:suff w:val="tab"/>
      <w:lvlText w:val=""/>
      <w:lvlJc w:val="left"/>
      <w:pPr>
        <w:ind w:hanging="360" w:left="3306"/>
      </w:pPr>
      <w:rPr>
        <w:rFonts w:ascii="Symbol" w:hAnsi="Symbol"/>
      </w:rPr>
    </w:lvl>
    <w:lvl w:ilvl="4" w:tplc="4DA065A9">
      <w:start w:val="1"/>
      <w:numFmt w:val="bullet"/>
      <w:suff w:val="tab"/>
      <w:lvlText w:val="o"/>
      <w:lvlJc w:val="left"/>
      <w:pPr>
        <w:ind w:hanging="360" w:left="4026"/>
      </w:pPr>
      <w:rPr>
        <w:rFonts w:ascii="Courier New" w:hAnsi="Courier New"/>
      </w:rPr>
    </w:lvl>
    <w:lvl w:ilvl="5" w:tplc="3AC9017D">
      <w:start w:val="1"/>
      <w:numFmt w:val="bullet"/>
      <w:suff w:val="tab"/>
      <w:lvlText w:val=""/>
      <w:lvlJc w:val="left"/>
      <w:pPr>
        <w:ind w:hanging="360" w:left="4746"/>
      </w:pPr>
      <w:rPr>
        <w:rFonts w:ascii="Wingdings" w:hAnsi="Wingdings"/>
      </w:rPr>
    </w:lvl>
    <w:lvl w:ilvl="6" w:tplc="05942E54">
      <w:start w:val="1"/>
      <w:numFmt w:val="bullet"/>
      <w:suff w:val="tab"/>
      <w:lvlText w:val=""/>
      <w:lvlJc w:val="left"/>
      <w:pPr>
        <w:ind w:hanging="360" w:left="5466"/>
      </w:pPr>
      <w:rPr>
        <w:rFonts w:ascii="Symbol" w:hAnsi="Symbol"/>
      </w:rPr>
    </w:lvl>
    <w:lvl w:ilvl="7" w:tplc="5E9CE56C">
      <w:start w:val="1"/>
      <w:numFmt w:val="bullet"/>
      <w:suff w:val="tab"/>
      <w:lvlText w:val="o"/>
      <w:lvlJc w:val="left"/>
      <w:pPr>
        <w:ind w:hanging="360" w:left="6186"/>
      </w:pPr>
      <w:rPr>
        <w:rFonts w:ascii="Courier New" w:hAnsi="Courier New"/>
      </w:rPr>
    </w:lvl>
    <w:lvl w:ilvl="8" w:tplc="2EF96123">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00403328">
      <w:start w:val="0"/>
      <w:numFmt w:val="bullet"/>
      <w:suff w:val="tab"/>
      <w:lvlText w:val="-"/>
      <w:lvlJc w:val="left"/>
      <w:pPr>
        <w:ind w:hanging="360" w:left="720"/>
        <w:tabs>
          <w:tab w:val="left" w:pos="720" w:leader="none"/>
        </w:tabs>
      </w:pPr>
      <w:rPr>
        <w:rFonts w:ascii="Times New Roman" w:hAnsi="Times New Roman"/>
      </w:rPr>
    </w:lvl>
    <w:lvl w:ilvl="1" w:tplc="0BB5B4BB">
      <w:start w:val="1"/>
      <w:numFmt w:val="bullet"/>
      <w:suff w:val="tab"/>
      <w:lvlText w:val="o"/>
      <w:lvlJc w:val="left"/>
      <w:pPr>
        <w:ind w:hanging="360" w:left="1440"/>
        <w:tabs>
          <w:tab w:val="left" w:pos="1440" w:leader="none"/>
        </w:tabs>
      </w:pPr>
      <w:rPr>
        <w:rFonts w:ascii="Courier New" w:hAnsi="Courier New"/>
      </w:rPr>
    </w:lvl>
    <w:lvl w:ilvl="2" w:tplc="6BC4EDD5">
      <w:start w:val="1"/>
      <w:numFmt w:val="bullet"/>
      <w:suff w:val="tab"/>
      <w:lvlText w:val=""/>
      <w:lvlJc w:val="left"/>
      <w:pPr>
        <w:ind w:hanging="360" w:left="2160"/>
        <w:tabs>
          <w:tab w:val="left" w:pos="2160" w:leader="none"/>
        </w:tabs>
      </w:pPr>
      <w:rPr>
        <w:rFonts w:ascii="Wingdings" w:hAnsi="Wingdings"/>
      </w:rPr>
    </w:lvl>
    <w:lvl w:ilvl="3" w:tplc="2873B8F4">
      <w:start w:val="1"/>
      <w:numFmt w:val="bullet"/>
      <w:suff w:val="tab"/>
      <w:lvlText w:val=""/>
      <w:lvlJc w:val="left"/>
      <w:pPr>
        <w:ind w:hanging="360" w:left="2880"/>
        <w:tabs>
          <w:tab w:val="left" w:pos="2880" w:leader="none"/>
        </w:tabs>
      </w:pPr>
      <w:rPr>
        <w:rFonts w:ascii="Symbol" w:hAnsi="Symbol"/>
      </w:rPr>
    </w:lvl>
    <w:lvl w:ilvl="4" w:tplc="69DF345E">
      <w:start w:val="1"/>
      <w:numFmt w:val="bullet"/>
      <w:suff w:val="tab"/>
      <w:lvlText w:val="o"/>
      <w:lvlJc w:val="left"/>
      <w:pPr>
        <w:ind w:hanging="360" w:left="3600"/>
        <w:tabs>
          <w:tab w:val="left" w:pos="3600" w:leader="none"/>
        </w:tabs>
      </w:pPr>
      <w:rPr>
        <w:rFonts w:ascii="Courier New" w:hAnsi="Courier New"/>
      </w:rPr>
    </w:lvl>
    <w:lvl w:ilvl="5" w:tplc="2EC64E8B">
      <w:start w:val="1"/>
      <w:numFmt w:val="bullet"/>
      <w:suff w:val="tab"/>
      <w:lvlText w:val=""/>
      <w:lvlJc w:val="left"/>
      <w:pPr>
        <w:ind w:hanging="360" w:left="4320"/>
        <w:tabs>
          <w:tab w:val="left" w:pos="4320" w:leader="none"/>
        </w:tabs>
      </w:pPr>
      <w:rPr>
        <w:rFonts w:ascii="Wingdings" w:hAnsi="Wingdings"/>
      </w:rPr>
    </w:lvl>
    <w:lvl w:ilvl="6" w:tplc="7C86F715">
      <w:start w:val="1"/>
      <w:numFmt w:val="bullet"/>
      <w:suff w:val="tab"/>
      <w:lvlText w:val=""/>
      <w:lvlJc w:val="left"/>
      <w:pPr>
        <w:ind w:hanging="360" w:left="5040"/>
        <w:tabs>
          <w:tab w:val="left" w:pos="5040" w:leader="none"/>
        </w:tabs>
      </w:pPr>
      <w:rPr>
        <w:rFonts w:ascii="Symbol" w:hAnsi="Symbol"/>
      </w:rPr>
    </w:lvl>
    <w:lvl w:ilvl="7" w:tplc="77DB166C">
      <w:start w:val="1"/>
      <w:numFmt w:val="bullet"/>
      <w:suff w:val="tab"/>
      <w:lvlText w:val="o"/>
      <w:lvlJc w:val="left"/>
      <w:pPr>
        <w:ind w:hanging="360" w:left="5760"/>
        <w:tabs>
          <w:tab w:val="left" w:pos="5760" w:leader="none"/>
        </w:tabs>
      </w:pPr>
      <w:rPr>
        <w:rFonts w:ascii="Courier New" w:hAnsi="Courier New"/>
      </w:rPr>
    </w:lvl>
    <w:lvl w:ilvl="8" w:tplc="546A4804">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393FC5FB">
      <w:start w:val="1"/>
      <w:numFmt w:val="bullet"/>
      <w:suff w:val="tab"/>
      <w:lvlText w:val=""/>
      <w:lvlJc w:val="left"/>
      <w:pPr>
        <w:ind w:hanging="360" w:left="720"/>
        <w:tabs>
          <w:tab w:val="left" w:pos="720" w:leader="none"/>
        </w:tabs>
      </w:pPr>
      <w:rPr>
        <w:rFonts w:ascii="Symbol" w:hAnsi="Symbol"/>
      </w:rPr>
    </w:lvl>
    <w:lvl w:ilvl="1" w:tplc="01AD32B7">
      <w:start w:val="1"/>
      <w:numFmt w:val="bullet"/>
      <w:suff w:val="tab"/>
      <w:lvlText w:val="o"/>
      <w:lvlJc w:val="left"/>
      <w:pPr>
        <w:ind w:hanging="360" w:left="1440"/>
        <w:tabs>
          <w:tab w:val="left" w:pos="1440" w:leader="none"/>
        </w:tabs>
      </w:pPr>
      <w:rPr>
        <w:rFonts w:ascii="Courier New" w:hAnsi="Courier New"/>
      </w:rPr>
    </w:lvl>
    <w:lvl w:ilvl="2" w:tplc="7738CA5E">
      <w:start w:val="1"/>
      <w:numFmt w:val="bullet"/>
      <w:suff w:val="tab"/>
      <w:lvlText w:val=""/>
      <w:lvlJc w:val="left"/>
      <w:pPr>
        <w:ind w:hanging="360" w:left="2160"/>
        <w:tabs>
          <w:tab w:val="left" w:pos="2160" w:leader="none"/>
        </w:tabs>
      </w:pPr>
      <w:rPr>
        <w:rFonts w:ascii="Wingdings" w:hAnsi="Wingdings"/>
      </w:rPr>
    </w:lvl>
    <w:lvl w:ilvl="3" w:tplc="6F635EBF">
      <w:start w:val="1"/>
      <w:numFmt w:val="bullet"/>
      <w:suff w:val="tab"/>
      <w:lvlText w:val=""/>
      <w:lvlJc w:val="left"/>
      <w:pPr>
        <w:ind w:hanging="360" w:left="2880"/>
        <w:tabs>
          <w:tab w:val="left" w:pos="2880" w:leader="none"/>
        </w:tabs>
      </w:pPr>
      <w:rPr>
        <w:rFonts w:ascii="Symbol" w:hAnsi="Symbol"/>
      </w:rPr>
    </w:lvl>
    <w:lvl w:ilvl="4" w:tplc="5A4F946D">
      <w:start w:val="1"/>
      <w:numFmt w:val="bullet"/>
      <w:suff w:val="tab"/>
      <w:lvlText w:val="o"/>
      <w:lvlJc w:val="left"/>
      <w:pPr>
        <w:ind w:hanging="360" w:left="3600"/>
        <w:tabs>
          <w:tab w:val="left" w:pos="3600" w:leader="none"/>
        </w:tabs>
      </w:pPr>
      <w:rPr>
        <w:rFonts w:ascii="Courier New" w:hAnsi="Courier New"/>
      </w:rPr>
    </w:lvl>
    <w:lvl w:ilvl="5" w:tplc="7F750156">
      <w:start w:val="1"/>
      <w:numFmt w:val="bullet"/>
      <w:suff w:val="tab"/>
      <w:lvlText w:val=""/>
      <w:lvlJc w:val="left"/>
      <w:pPr>
        <w:ind w:hanging="360" w:left="4320"/>
        <w:tabs>
          <w:tab w:val="left" w:pos="4320" w:leader="none"/>
        </w:tabs>
      </w:pPr>
      <w:rPr>
        <w:rFonts w:ascii="Wingdings" w:hAnsi="Wingdings"/>
      </w:rPr>
    </w:lvl>
    <w:lvl w:ilvl="6" w:tplc="4964DA67">
      <w:start w:val="1"/>
      <w:numFmt w:val="bullet"/>
      <w:suff w:val="tab"/>
      <w:lvlText w:val=""/>
      <w:lvlJc w:val="left"/>
      <w:pPr>
        <w:ind w:hanging="360" w:left="5040"/>
        <w:tabs>
          <w:tab w:val="left" w:pos="5040" w:leader="none"/>
        </w:tabs>
      </w:pPr>
      <w:rPr>
        <w:rFonts w:ascii="Symbol" w:hAnsi="Symbol"/>
      </w:rPr>
    </w:lvl>
    <w:lvl w:ilvl="7" w:tplc="626284F0">
      <w:start w:val="1"/>
      <w:numFmt w:val="bullet"/>
      <w:suff w:val="tab"/>
      <w:lvlText w:val="o"/>
      <w:lvlJc w:val="left"/>
      <w:pPr>
        <w:ind w:hanging="360" w:left="5760"/>
        <w:tabs>
          <w:tab w:val="left" w:pos="5760" w:leader="none"/>
        </w:tabs>
      </w:pPr>
      <w:rPr>
        <w:rFonts w:ascii="Courier New" w:hAnsi="Courier New"/>
      </w:rPr>
    </w:lvl>
    <w:lvl w:ilvl="8" w:tplc="391A7C5A">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33FD107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2011-06-27T17:06:00Z</dcterms:created>
  <cp:lastModifiedBy>Ethan Puglia</cp:lastModifiedBy>
  <cp:lastPrinted>2011-06-29T11:57:00Z</cp:lastPrinted>
  <dcterms:modified xsi:type="dcterms:W3CDTF">2019-03-28T17:34:34Z</dcterms:modified>
  <cp:revision>9</cp:revision>
  <dc:title>PROYECTO DE ORDENANZA VIOLENCIA FAMILIAR</dc:title>
</cp:coreProperties>
</file>