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9DEADD" Type="http://schemas.openxmlformats.org/officeDocument/2006/relationships/officeDocument" Target="/word/document.xml" /><Relationship Id="coreR609DEAD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8984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1667/00;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 la Sra. Zapata Ramona Rosa DNI 13.720.784, solicita eximición de la deuda que en concepto de Tasa por Servicios a la Propiedad mantiene con la Municipalidad de Alta Gracia, el inmueble Designación Catastral 03-01-135-021 Cta.00019955;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se adjunta Boleto de Compraventa a nombre del Sr. Víctor Hugo Vergara (ex cónyuge);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Fs.19 obra copia de Resolución 601/00 donde se exime el CIEN POR CIENTO (100%) de la deuda de los períodos comprendidos entre 99/07 al 2000 inclusive;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Fs.20 vta. se adjunta certificado médico donde se deja constancia que la solicitante padece serios problemas de salud;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Fs.21 Sección Catastro informa que el inmueble de referencia está a nombre del Sr. Zapata, siendo esta su única propiedad;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Fs.22, Sección Catastro informa que la solicitante no posee ningún inmueble a su nombre;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Fs.24 se adjunta copia de acuerdo de divisiones de bienes por divorcio, donde el inmueble que nos ocupa queda con derecho a usufructo vitalicio a nombre de la señora Ramona Rosa Zapata;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realizado, la solicitante, no se desempeña en forma laboral debido a sus problemas de salud y percibe módulo alimentario;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se observa que se ha realizado un plan de pagos, pero el mismo no ha sido cumplimentado;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22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CANCELAR</w:t>
      </w:r>
      <w:r>
        <w:rPr>
          <w:rStyle w:val="C3"/>
          <w:rFonts w:ascii="Courier New" w:hAnsi="Courier New"/>
        </w:rPr>
        <w:t xml:space="preserve"> plan de pagos vigente;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OTORGAR</w:t>
      </w:r>
      <w:r>
        <w:rPr>
          <w:rStyle w:val="C3"/>
          <w:rFonts w:ascii="Courier New" w:hAnsi="Courier New"/>
        </w:rPr>
        <w:t xml:space="preserve"> una quita del CINCUENTA POR CIENTO (50%) en el valor de la cuota que en Concepto de Tasa por Servicios a la Propiedad recae sobre el inmueble Designación Catastral 03-01-135-021 Cta.00019955, desde la promulgación de la presente y por el término de DOS (2) años, momento en el cual se deberá realizar un nuevo Relevamiento Socioeconómico y Ambiental y de mantenerse la situación actual extender el beneficio por iguales y consecutivos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SEIS (6) cuotas vencidas de la deuda, por cada cuota actual que se abone en término.-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falta de pago de TRES (3) cuotas consecutivas o alternadas así como la transferencia o venta del inmueble harán caducar automáticamente los beneficios otorgados.-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3AEA1D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8D10D6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22CF87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6D4784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A6900F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79D8E3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894B9B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164B46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74830B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B9F6B9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476902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0A1382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35F5A4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58B440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FDED6B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C96166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BD9F2B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C91160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B206F6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BDC55E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D8811B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3D1F86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F678AD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419BD9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687D10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BA81B2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A79097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4F52AA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845CB7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1B01B3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9EDCE5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F5D65C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454FFD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65E2AA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90EBAA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D473B1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B9E56F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20524E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178B62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0DE7BF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8B557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C1EB4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E49294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A6874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CB38B0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5A6B20C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2011-06-27T18:01:00Z</dcterms:created>
  <cp:lastModifiedBy>Ethan Puglia</cp:lastModifiedBy>
  <cp:lastPrinted>2011-06-29T18:01:00Z</cp:lastPrinted>
  <dcterms:modified xsi:type="dcterms:W3CDTF">2019-03-28T17:34:34Z</dcterms:modified>
  <cp:revision>6</cp:revision>
  <dc:title>PROYECTO DE ORDENANZA VIOLENCIA FAMILIAR</dc:title>
</cp:coreProperties>
</file>