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2DBF7B67" Type="http://schemas.openxmlformats.org/officeDocument/2006/relationships/officeDocument" Target="/word/document.xml" /><Relationship Id="coreR2DBF7B6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8988</w:t>
      </w: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Expediente Nº 1005/07 acumulado  Nº 1063/09; y </w:t>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
      <w:pPr>
        <w:ind w:left="426"/>
      </w:pPr>
    </w:p>
    <w:p>
      <w:pPr>
        <w:ind w:left="426"/>
        <w:jc w:val="both"/>
        <w:rPr>
          <w:rStyle w:val="C3"/>
          <w:rFonts w:ascii="Courier New" w:hAnsi="Courier New"/>
        </w:rPr>
      </w:pPr>
      <w:r>
        <w:rPr>
          <w:rStyle w:val="C3"/>
          <w:rFonts w:ascii="Courier New" w:hAnsi="Courier New"/>
        </w:rPr>
        <w:t>Que mediante el mismo y a través de nota obrante a Fs.2 el Sr. Ramón Miguel Giménez, solicita eximición de la deuda que en concepto de Tasa por Servicios de Administración y Mantenimientos de los Cementerios mantiene con la Municipalidad de Alta Gracia la identificación 007365;</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este Concejo Deliberante se expidió a través de la  Ordenanza Nº 7996 en el año 2008, mediante la cual se establece la eximición de CINCO (5) cuotas de la deuda exigible, por cada cuota abonada en término;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Fs.16 obra nueva nota suscripta por la Sra. María Rosa del Carmen Iriarte de Giménez donde se solicita el traslado de los restos depositados en la identificación Nº 7365 a la Identificación 2462-G-1605-1;</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Fs.19 se adjunta certificado de defunción del Sr. Giménez, donde también se observa que la Sra. Iriarte es su esposa;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 Fs.20/24 consta cédula  donde se notifica al Sr. Giménez que se ha dado inicio a las correspondientes acciones judiciales;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 Fs.27 consta nota de fecha 05 de Agosto de 2009 signada por el fallecido, donde manifiesta desconocer a quienes pertenecen los restos de la identificación Nº 6538, de la que ha recibido  cédula (Fs.28/32)donde se lo notifica el inicio de acciones judiciales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 Fs.33 vta. Administración del Cementerio informa que  en  los  padrones  existentes  la identif. 6538 con </w:t>
      </w: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ubicación en zona G manzana 12 fila 15 no existe, dado que en esa sección todas las manzanas tienen 11 sepulturas, revisándose padrones anteriores y figura en la misma ubicación y sin fecha de ingreso;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Fs.38 se adjunta copia de la planilla de detalle;</w:t>
      </w:r>
    </w:p>
    <w:p>
      <w:pPr>
        <w:ind w:left="426"/>
        <w:jc w:val="both"/>
        <w:rPr>
          <w:rStyle w:val="C3"/>
          <w:rFonts w:ascii="Courier New" w:hAnsi="Courier New"/>
        </w:rPr>
      </w:pPr>
    </w:p>
    <w:p>
      <w:pPr>
        <w:ind w:left="426"/>
        <w:jc w:val="both"/>
        <w:rPr>
          <w:rStyle w:val="C3"/>
          <w:rFonts w:ascii="Courier New" w:hAnsi="Courier New"/>
          <w:i w:val="1"/>
        </w:rPr>
      </w:pPr>
      <w:r>
        <w:rPr>
          <w:rStyle w:val="C3"/>
          <w:rFonts w:ascii="Courier New" w:hAnsi="Courier New"/>
        </w:rPr>
        <w:t>Que administración de cementerio a Fs.34 informa</w:t>
      </w:r>
      <w:r>
        <w:rPr>
          <w:rStyle w:val="C3"/>
          <w:rFonts w:ascii="Courier New" w:hAnsi="Courier New"/>
          <w:i w:val="1"/>
        </w:rPr>
        <w:t xml:space="preserve"> “que el motivo por el cual se solicitó la baja en el Sistema de Cómputos de la id. 6538, dado que en los padrones figura la misma, pero el espacio físico o la parcela no se encuentra determinada, no figura ficha de Gimenez R y M, tampoco figura el domicilio del responsable … Con respecto a la deuda que se manifiesta en foja 12 esta área no tenía conocimiento, como de ningún otra identificación, que posee juicio”;</w:t>
      </w:r>
    </w:p>
    <w:p>
      <w:pPr>
        <w:ind w:left="426"/>
        <w:jc w:val="both"/>
        <w:rPr>
          <w:rStyle w:val="C3"/>
          <w:rFonts w:ascii="Courier New" w:hAnsi="Courier New"/>
          <w:i w:val="1"/>
        </w:rPr>
      </w:pPr>
    </w:p>
    <w:p>
      <w:pPr>
        <w:ind w:left="426"/>
        <w:jc w:val="both"/>
        <w:rPr>
          <w:rStyle w:val="C3"/>
          <w:rFonts w:ascii="Courier New" w:hAnsi="Courier New"/>
        </w:rPr>
      </w:pPr>
      <w:r>
        <w:rPr>
          <w:rStyle w:val="C3"/>
          <w:rFonts w:ascii="Courier New" w:hAnsi="Courier New"/>
        </w:rPr>
        <w:t>Que si bien quien peticiona se trata de la misma persona, corresponde a dos identificaciones distintas, una 7365 y otra 6538;</w:t>
      </w:r>
    </w:p>
    <w:p>
      <w:pPr>
        <w:ind w:left="426"/>
        <w:jc w:val="both"/>
        <w:rPr>
          <w:rStyle w:val="C3"/>
          <w:rFonts w:ascii="Courier New" w:hAnsi="Courier New"/>
        </w:rPr>
      </w:pPr>
    </w:p>
    <w:p>
      <w:pPr>
        <w:ind w:left="426"/>
        <w:jc w:val="both"/>
        <w:rPr>
          <w:rStyle w:val="C3"/>
          <w:rFonts w:ascii="Courier New" w:hAnsi="Courier New"/>
          <w:i w:val="1"/>
        </w:rPr>
      </w:pPr>
      <w:r>
        <w:rPr>
          <w:rStyle w:val="C3"/>
          <w:rFonts w:ascii="Courier New" w:hAnsi="Courier New"/>
        </w:rPr>
        <w:t xml:space="preserve">Que consultada la Jefatura del  Área Cementerio, esta constata que los restos contenidos en identificación 2462, se trasladaron a la identificación Nº 2504;</w:t>
      </w:r>
      <w:r>
        <w:rPr>
          <w:rStyle w:val="C3"/>
          <w:rFonts w:ascii="Courier New" w:hAnsi="Courier New"/>
          <w:i w:val="1"/>
        </w:rPr>
        <w:t xml:space="preserve">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22 de Junio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ind w:hanging="426" w:left="426"/>
        <w:jc w:val="both"/>
        <w:rPr>
          <w:rStyle w:val="C3"/>
          <w:rFonts w:ascii="Courier New" w:hAnsi="Courier New"/>
          <w:b w:val="1"/>
          <w:u w:val="single"/>
        </w:rPr>
      </w:pPr>
    </w:p>
    <w:p>
      <w:pPr>
        <w:pStyle w:val="P16"/>
        <w:ind w:hanging="426" w:left="426"/>
        <w:jc w:val="both"/>
        <w:rPr>
          <w:rStyle w:val="C3"/>
          <w:rFonts w:ascii="Courier New" w:hAnsi="Courier New"/>
          <w:sz w:val="24"/>
          <w:u w:val="single"/>
        </w:rPr>
      </w:pPr>
    </w:p>
    <w:p>
      <w:pPr>
        <w:pStyle w:val="P16"/>
        <w:ind w:hanging="426" w:left="426"/>
        <w:jc w:val="both"/>
        <w:rPr>
          <w:rStyle w:val="C3"/>
          <w:rFonts w:ascii="Courier New" w:hAnsi="Courier New"/>
          <w:b w:val="1"/>
          <w:sz w:val="24"/>
        </w:rPr>
      </w:pPr>
      <w:r>
        <w:rPr>
          <w:rStyle w:val="C3"/>
          <w:rFonts w:ascii="Courier New" w:hAnsi="Courier New"/>
          <w:sz w:val="24"/>
          <w:u w:val="single"/>
        </w:rPr>
        <w:t>Art.1</w:t>
      </w:r>
      <w:r>
        <w:rPr>
          <w:rStyle w:val="C3"/>
          <w:rFonts w:ascii="Courier New" w:hAnsi="Courier New"/>
          <w:sz w:val="24"/>
        </w:rPr>
        <w:t>: AUTORIZAR</w:t>
      </w:r>
      <w:r>
        <w:rPr>
          <w:rStyle w:val="C3"/>
          <w:rFonts w:ascii="Courier New" w:hAnsi="Courier New"/>
          <w:b w:val="0"/>
          <w:sz w:val="24"/>
        </w:rPr>
        <w:t xml:space="preserve"> la exhumación  y traslado de  los restos contenidos en la Identificación Nº </w:t>
      </w:r>
      <w:r>
        <w:rPr>
          <w:rStyle w:val="C3"/>
          <w:rFonts w:ascii="Courier New" w:hAnsi="Courier New"/>
          <w:b w:val="0"/>
          <w:sz w:val="24"/>
        </w:rPr>
        <w:t>00</w:t>
      </w:r>
      <w:r>
        <w:rPr>
          <w:rStyle w:val="C3"/>
          <w:rFonts w:ascii="Courier New" w:hAnsi="Courier New"/>
          <w:b w:val="0"/>
          <w:sz w:val="24"/>
        </w:rPr>
        <w:t>7365 a la identif</w:t>
      </w:r>
      <w:r>
        <w:rPr>
          <w:rStyle w:val="C3"/>
          <w:rFonts w:ascii="Courier New" w:hAnsi="Courier New"/>
          <w:b w:val="0"/>
          <w:sz w:val="24"/>
        </w:rPr>
        <w:t>icación</w:t>
      </w:r>
      <w:r>
        <w:rPr>
          <w:rStyle w:val="C3"/>
          <w:rFonts w:ascii="Courier New" w:hAnsi="Courier New"/>
          <w:b w:val="0"/>
          <w:sz w:val="24"/>
        </w:rPr>
        <w:t xml:space="preserve"> Nº 2504 según solicitud obrante </w:t>
      </w:r>
      <w:r>
        <w:rPr>
          <w:rStyle w:val="C3"/>
          <w:rFonts w:ascii="Courier New" w:hAnsi="Courier New"/>
          <w:b w:val="0"/>
          <w:sz w:val="24"/>
        </w:rPr>
        <w:t>F</w:t>
      </w:r>
      <w:r>
        <w:rPr>
          <w:rStyle w:val="C3"/>
          <w:rFonts w:ascii="Courier New" w:hAnsi="Courier New"/>
          <w:b w:val="0"/>
          <w:sz w:val="24"/>
        </w:rPr>
        <w:t xml:space="preserve">s.16 del Expediente Nº </w:t>
      </w:r>
      <w:r>
        <w:rPr>
          <w:rStyle w:val="C3"/>
          <w:rFonts w:ascii="Courier New" w:hAnsi="Courier New"/>
          <w:b w:val="0"/>
          <w:sz w:val="24"/>
        </w:rPr>
        <w:t>1005/07</w:t>
      </w:r>
      <w:r>
        <w:rPr>
          <w:rStyle w:val="C3"/>
          <w:rFonts w:ascii="Courier New" w:hAnsi="Courier New"/>
          <w:b w:val="0"/>
          <w:sz w:val="24"/>
        </w:rPr>
        <w:t xml:space="preserve"> acumulado  Nº 1063/09</w:t>
      </w:r>
      <w:r>
        <w:rPr>
          <w:rStyle w:val="C3"/>
          <w:rFonts w:ascii="Courier New" w:hAnsi="Courier New"/>
          <w:b w:val="0"/>
          <w:sz w:val="24"/>
        </w:rPr>
        <w:t>.-</w:t>
      </w:r>
    </w:p>
    <w:p>
      <w:pPr>
        <w:pStyle w:val="P16"/>
        <w:jc w:val="both"/>
        <w:rPr>
          <w:rStyle w:val="C3"/>
          <w:rFonts w:ascii="Courier New" w:hAnsi="Courier New"/>
          <w:b w:val="1"/>
          <w:sz w:val="24"/>
        </w:rPr>
      </w:pP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 EXIMIR</w:t>
      </w:r>
      <w:r>
        <w:rPr>
          <w:rStyle w:val="C3"/>
          <w:rFonts w:ascii="Courier New" w:hAnsi="Courier New"/>
        </w:rPr>
        <w:t xml:space="preserve"> el CIEN POR CIENTO (100%) de la deuda que hasta la promulgación de la presente mantiene en concepto de Tasa por Servicios de Administración y Mantenimientos de los Cementerios con la Municipalidad de Alta Gracia la identificación 007365.-</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 CONDONAR</w:t>
      </w:r>
      <w:r>
        <w:rPr>
          <w:rStyle w:val="C3"/>
          <w:rFonts w:ascii="Courier New" w:hAnsi="Courier New"/>
        </w:rPr>
        <w:t xml:space="preserve"> todos los gastos emergentes por la  concreción del precepto anterior.-</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Art.4</w:t>
      </w:r>
      <w:r>
        <w:rPr>
          <w:rStyle w:val="C3"/>
          <w:rFonts w:ascii="Courier New" w:hAnsi="Courier New"/>
          <w:b w:val="1"/>
        </w:rPr>
        <w:t>: SOLICITAR</w:t>
      </w:r>
      <w:r>
        <w:rPr>
          <w:rStyle w:val="C3"/>
          <w:rFonts w:ascii="Courier New" w:hAnsi="Courier New"/>
        </w:rPr>
        <w:t xml:space="preserve"> al Sr. Intendente Municipal que interceda ante el o los procuradores actuantes a fin de dejar sin efecto el o los juicios iniciados así como también los honorarios generados de la Identificación Nº 007365.-</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Art.5</w:t>
      </w:r>
      <w:r>
        <w:rPr>
          <w:rStyle w:val="C3"/>
          <w:rFonts w:ascii="Courier New" w:hAnsi="Courier New"/>
          <w:b w:val="1"/>
        </w:rPr>
        <w:t>: EXIMIR</w:t>
      </w:r>
      <w:r>
        <w:rPr>
          <w:rStyle w:val="C3"/>
          <w:rFonts w:ascii="Courier New" w:hAnsi="Courier New"/>
        </w:rPr>
        <w:t xml:space="preserve"> el CIEN POR CIENTO (100%) de la deuda, que hasta la promulgación de la presente mantiene en concepto de  Tasa por Servicios de Administración y Mantenimientos de los Cementerios con la Municipalidad de Alta Gracia la identificación 6538, como así también honorarios de procurador actuante y gastos de Ley.-</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Art.6</w:t>
      </w:r>
      <w:r>
        <w:rPr>
          <w:rStyle w:val="C3"/>
          <w:rFonts w:ascii="Courier New" w:hAnsi="Courier New"/>
          <w:b w:val="1"/>
        </w:rPr>
        <w:t>: PROCEDER</w:t>
      </w:r>
      <w:r>
        <w:rPr>
          <w:rStyle w:val="C3"/>
          <w:rFonts w:ascii="Courier New" w:hAnsi="Courier New"/>
        </w:rPr>
        <w:t xml:space="preserve"> a dar de baja de los registros informáticos la identificación de mención atento su inexistencia física, según informe obrante a Fs.38/39 del Expediente Nº 1005/07 acumulado  Nº 1063/09;</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7</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ind w:hanging="29" w:left="142"/>
        <w:jc w:val="both"/>
        <w:rPr>
          <w:rStyle w:val="C3"/>
          <w:rFonts w:ascii="Courier New" w:hAnsi="Courier New"/>
        </w:rPr>
      </w:pPr>
    </w:p>
    <w:p>
      <w:pPr>
        <w:pStyle w:val="P17"/>
        <w:rPr>
          <w:rStyle w:val="C3"/>
        </w:rPr>
      </w:pPr>
    </w:p>
    <w:p>
      <w:pPr>
        <w:pStyle w:val="P17"/>
      </w:pPr>
      <w:r>
        <w:t xml:space="preserve">DADA EN LA SALA DE SESIONES DEL HONORABLE CONCEJO DELIBERANTE A LOS VEINTIDÓS DÍAS DEL MES DE JUNIO DEL AÑO DOS MIL ONCE.- </w:t>
      </w: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17CCF1AD">
      <w:start w:val="0"/>
      <w:numFmt w:val="bullet"/>
      <w:suff w:val="tab"/>
      <w:lvlText w:val=""/>
      <w:lvlJc w:val="left"/>
      <w:pPr>
        <w:ind w:hanging="360" w:left="786"/>
      </w:pPr>
      <w:rPr>
        <w:rFonts w:ascii="Symbol" w:hAnsi="Symbol"/>
      </w:rPr>
    </w:lvl>
    <w:lvl w:ilvl="1" w:tplc="547A007B">
      <w:start w:val="1"/>
      <w:numFmt w:val="bullet"/>
      <w:suff w:val="tab"/>
      <w:lvlText w:val="o"/>
      <w:lvlJc w:val="left"/>
      <w:pPr>
        <w:ind w:hanging="360" w:left="1506"/>
      </w:pPr>
      <w:rPr>
        <w:rFonts w:ascii="Courier New" w:hAnsi="Courier New"/>
      </w:rPr>
    </w:lvl>
    <w:lvl w:ilvl="2" w:tplc="52FD1CCD">
      <w:start w:val="1"/>
      <w:numFmt w:val="bullet"/>
      <w:suff w:val="tab"/>
      <w:lvlText w:val=""/>
      <w:lvlJc w:val="left"/>
      <w:pPr>
        <w:ind w:hanging="360" w:left="2226"/>
      </w:pPr>
      <w:rPr>
        <w:rFonts w:ascii="Wingdings" w:hAnsi="Wingdings"/>
      </w:rPr>
    </w:lvl>
    <w:lvl w:ilvl="3" w:tplc="087D1701">
      <w:start w:val="1"/>
      <w:numFmt w:val="bullet"/>
      <w:suff w:val="tab"/>
      <w:lvlText w:val=""/>
      <w:lvlJc w:val="left"/>
      <w:pPr>
        <w:ind w:hanging="360" w:left="2946"/>
      </w:pPr>
      <w:rPr>
        <w:rFonts w:ascii="Symbol" w:hAnsi="Symbol"/>
      </w:rPr>
    </w:lvl>
    <w:lvl w:ilvl="4" w:tplc="6DF8F0AC">
      <w:start w:val="1"/>
      <w:numFmt w:val="bullet"/>
      <w:suff w:val="tab"/>
      <w:lvlText w:val="o"/>
      <w:lvlJc w:val="left"/>
      <w:pPr>
        <w:ind w:hanging="360" w:left="3666"/>
      </w:pPr>
      <w:rPr>
        <w:rFonts w:ascii="Courier New" w:hAnsi="Courier New"/>
      </w:rPr>
    </w:lvl>
    <w:lvl w:ilvl="5" w:tplc="434DCCD5">
      <w:start w:val="1"/>
      <w:numFmt w:val="bullet"/>
      <w:suff w:val="tab"/>
      <w:lvlText w:val=""/>
      <w:lvlJc w:val="left"/>
      <w:pPr>
        <w:ind w:hanging="360" w:left="4386"/>
      </w:pPr>
      <w:rPr>
        <w:rFonts w:ascii="Wingdings" w:hAnsi="Wingdings"/>
      </w:rPr>
    </w:lvl>
    <w:lvl w:ilvl="6" w:tplc="74E141BE">
      <w:start w:val="1"/>
      <w:numFmt w:val="bullet"/>
      <w:suff w:val="tab"/>
      <w:lvlText w:val=""/>
      <w:lvlJc w:val="left"/>
      <w:pPr>
        <w:ind w:hanging="360" w:left="5106"/>
      </w:pPr>
      <w:rPr>
        <w:rFonts w:ascii="Symbol" w:hAnsi="Symbol"/>
      </w:rPr>
    </w:lvl>
    <w:lvl w:ilvl="7" w:tplc="20D37E30">
      <w:start w:val="1"/>
      <w:numFmt w:val="bullet"/>
      <w:suff w:val="tab"/>
      <w:lvlText w:val="o"/>
      <w:lvlJc w:val="left"/>
      <w:pPr>
        <w:ind w:hanging="360" w:left="5826"/>
      </w:pPr>
      <w:rPr>
        <w:rFonts w:ascii="Courier New" w:hAnsi="Courier New"/>
      </w:rPr>
    </w:lvl>
    <w:lvl w:ilvl="8" w:tplc="63E30467">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5">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8">
    <w:nsid w:val="145A66F1"/>
    <w:multiLevelType w:val="hybridMultilevel"/>
    <w:lvl w:ilvl="0" w:tplc="183FAE64">
      <w:start w:val="0"/>
      <w:numFmt w:val="bullet"/>
      <w:suff w:val="tab"/>
      <w:lvlText w:val=""/>
      <w:lvlJc w:val="left"/>
      <w:pPr>
        <w:ind w:hanging="360" w:left="927"/>
      </w:pPr>
      <w:rPr>
        <w:rFonts w:ascii="Symbol" w:hAnsi="Symbol"/>
      </w:rPr>
    </w:lvl>
    <w:lvl w:ilvl="1" w:tplc="3CAAA05B">
      <w:start w:val="1"/>
      <w:numFmt w:val="bullet"/>
      <w:suff w:val="tab"/>
      <w:lvlText w:val="o"/>
      <w:lvlJc w:val="left"/>
      <w:pPr>
        <w:ind w:hanging="360" w:left="1647"/>
      </w:pPr>
      <w:rPr>
        <w:rFonts w:ascii="Courier New" w:hAnsi="Courier New"/>
      </w:rPr>
    </w:lvl>
    <w:lvl w:ilvl="2" w:tplc="67D8DBCE">
      <w:start w:val="1"/>
      <w:numFmt w:val="bullet"/>
      <w:suff w:val="tab"/>
      <w:lvlText w:val=""/>
      <w:lvlJc w:val="left"/>
      <w:pPr>
        <w:ind w:hanging="360" w:left="2367"/>
      </w:pPr>
      <w:rPr>
        <w:rFonts w:ascii="Wingdings" w:hAnsi="Wingdings"/>
      </w:rPr>
    </w:lvl>
    <w:lvl w:ilvl="3" w:tplc="1A461B93">
      <w:start w:val="1"/>
      <w:numFmt w:val="bullet"/>
      <w:suff w:val="tab"/>
      <w:lvlText w:val=""/>
      <w:lvlJc w:val="left"/>
      <w:pPr>
        <w:ind w:hanging="360" w:left="3087"/>
      </w:pPr>
      <w:rPr>
        <w:rFonts w:ascii="Symbol" w:hAnsi="Symbol"/>
      </w:rPr>
    </w:lvl>
    <w:lvl w:ilvl="4" w:tplc="1EF525B1">
      <w:start w:val="1"/>
      <w:numFmt w:val="bullet"/>
      <w:suff w:val="tab"/>
      <w:lvlText w:val="o"/>
      <w:lvlJc w:val="left"/>
      <w:pPr>
        <w:ind w:hanging="360" w:left="3807"/>
      </w:pPr>
      <w:rPr>
        <w:rFonts w:ascii="Courier New" w:hAnsi="Courier New"/>
      </w:rPr>
    </w:lvl>
    <w:lvl w:ilvl="5" w:tplc="59E526EF">
      <w:start w:val="1"/>
      <w:numFmt w:val="bullet"/>
      <w:suff w:val="tab"/>
      <w:lvlText w:val=""/>
      <w:lvlJc w:val="left"/>
      <w:pPr>
        <w:ind w:hanging="360" w:left="4527"/>
      </w:pPr>
      <w:rPr>
        <w:rFonts w:ascii="Wingdings" w:hAnsi="Wingdings"/>
      </w:rPr>
    </w:lvl>
    <w:lvl w:ilvl="6" w:tplc="11621D20">
      <w:start w:val="1"/>
      <w:numFmt w:val="bullet"/>
      <w:suff w:val="tab"/>
      <w:lvlText w:val=""/>
      <w:lvlJc w:val="left"/>
      <w:pPr>
        <w:ind w:hanging="360" w:left="5247"/>
      </w:pPr>
      <w:rPr>
        <w:rFonts w:ascii="Symbol" w:hAnsi="Symbol"/>
      </w:rPr>
    </w:lvl>
    <w:lvl w:ilvl="7" w:tplc="6A58D439">
      <w:start w:val="1"/>
      <w:numFmt w:val="bullet"/>
      <w:suff w:val="tab"/>
      <w:lvlText w:val="o"/>
      <w:lvlJc w:val="left"/>
      <w:pPr>
        <w:ind w:hanging="360" w:left="5967"/>
      </w:pPr>
      <w:rPr>
        <w:rFonts w:ascii="Courier New" w:hAnsi="Courier New"/>
      </w:rPr>
    </w:lvl>
    <w:lvl w:ilvl="8" w:tplc="4FFCE256">
      <w:start w:val="1"/>
      <w:numFmt w:val="bullet"/>
      <w:suff w:val="tab"/>
      <w:lvlText w:val=""/>
      <w:lvlJc w:val="left"/>
      <w:pPr>
        <w:ind w:hanging="360" w:left="6687"/>
      </w:pPr>
      <w:rPr>
        <w:rFonts w:ascii="Wingdings" w:hAnsi="Wingdings"/>
      </w:rPr>
    </w:lvl>
  </w:abstractNum>
  <w:abstractNum w:abstractNumId="9">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1D433FF4"/>
    <w:multiLevelType w:val="hybridMultilevel"/>
    <w:lvl w:ilvl="0" w:tplc="57565879">
      <w:start w:val="1"/>
      <w:numFmt w:val="bullet"/>
      <w:suff w:val="tab"/>
      <w:lvlText w:val=""/>
      <w:lvlJc w:val="left"/>
      <w:pPr>
        <w:ind w:hanging="360" w:left="1146"/>
      </w:pPr>
      <w:rPr>
        <w:rFonts w:ascii="Symbol" w:hAnsi="Symbol"/>
      </w:rPr>
    </w:lvl>
    <w:lvl w:ilvl="1" w:tplc="7F37E6B7">
      <w:start w:val="1"/>
      <w:numFmt w:val="bullet"/>
      <w:suff w:val="tab"/>
      <w:lvlText w:val="o"/>
      <w:lvlJc w:val="left"/>
      <w:pPr>
        <w:ind w:hanging="360" w:left="1866"/>
      </w:pPr>
      <w:rPr>
        <w:rFonts w:ascii="Courier New" w:hAnsi="Courier New"/>
      </w:rPr>
    </w:lvl>
    <w:lvl w:ilvl="2" w:tplc="5D7720FD">
      <w:start w:val="1"/>
      <w:numFmt w:val="bullet"/>
      <w:suff w:val="tab"/>
      <w:lvlText w:val=""/>
      <w:lvlJc w:val="left"/>
      <w:pPr>
        <w:ind w:hanging="360" w:left="2586"/>
      </w:pPr>
      <w:rPr>
        <w:rFonts w:ascii="Wingdings" w:hAnsi="Wingdings"/>
      </w:rPr>
    </w:lvl>
    <w:lvl w:ilvl="3" w:tplc="0E7F69B2">
      <w:start w:val="1"/>
      <w:numFmt w:val="bullet"/>
      <w:suff w:val="tab"/>
      <w:lvlText w:val=""/>
      <w:lvlJc w:val="left"/>
      <w:pPr>
        <w:ind w:hanging="360" w:left="3306"/>
      </w:pPr>
      <w:rPr>
        <w:rFonts w:ascii="Symbol" w:hAnsi="Symbol"/>
      </w:rPr>
    </w:lvl>
    <w:lvl w:ilvl="4" w:tplc="3DAB51B3">
      <w:start w:val="1"/>
      <w:numFmt w:val="bullet"/>
      <w:suff w:val="tab"/>
      <w:lvlText w:val="o"/>
      <w:lvlJc w:val="left"/>
      <w:pPr>
        <w:ind w:hanging="360" w:left="4026"/>
      </w:pPr>
      <w:rPr>
        <w:rFonts w:ascii="Courier New" w:hAnsi="Courier New"/>
      </w:rPr>
    </w:lvl>
    <w:lvl w:ilvl="5" w:tplc="50AC28B5">
      <w:start w:val="1"/>
      <w:numFmt w:val="bullet"/>
      <w:suff w:val="tab"/>
      <w:lvlText w:val=""/>
      <w:lvlJc w:val="left"/>
      <w:pPr>
        <w:ind w:hanging="360" w:left="4746"/>
      </w:pPr>
      <w:rPr>
        <w:rFonts w:ascii="Wingdings" w:hAnsi="Wingdings"/>
      </w:rPr>
    </w:lvl>
    <w:lvl w:ilvl="6" w:tplc="01EB2137">
      <w:start w:val="1"/>
      <w:numFmt w:val="bullet"/>
      <w:suff w:val="tab"/>
      <w:lvlText w:val=""/>
      <w:lvlJc w:val="left"/>
      <w:pPr>
        <w:ind w:hanging="360" w:left="5466"/>
      </w:pPr>
      <w:rPr>
        <w:rFonts w:ascii="Symbol" w:hAnsi="Symbol"/>
      </w:rPr>
    </w:lvl>
    <w:lvl w:ilvl="7" w:tplc="05934A94">
      <w:start w:val="1"/>
      <w:numFmt w:val="bullet"/>
      <w:suff w:val="tab"/>
      <w:lvlText w:val="o"/>
      <w:lvlJc w:val="left"/>
      <w:pPr>
        <w:ind w:hanging="360" w:left="6186"/>
      </w:pPr>
      <w:rPr>
        <w:rFonts w:ascii="Courier New" w:hAnsi="Courier New"/>
      </w:rPr>
    </w:lvl>
    <w:lvl w:ilvl="8" w:tplc="21F7ABA6">
      <w:start w:val="1"/>
      <w:numFmt w:val="bullet"/>
      <w:suff w:val="tab"/>
      <w:lvlText w:val=""/>
      <w:lvlJc w:val="left"/>
      <w:pPr>
        <w:ind w:hanging="360" w:left="6906"/>
      </w:pPr>
      <w:rPr>
        <w:rFonts w:ascii="Wingdings" w:hAnsi="Wingdings"/>
      </w:rPr>
    </w:lvl>
  </w:abstractNum>
  <w:abstractNum w:abstractNumId="12">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3">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4">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24F459C5"/>
    <w:multiLevelType w:val="hybridMultilevel"/>
    <w:lvl w:ilvl="0" w:tplc="63250FBE">
      <w:start w:val="0"/>
      <w:numFmt w:val="bullet"/>
      <w:suff w:val="tab"/>
      <w:lvlText w:val="-"/>
      <w:lvlJc w:val="left"/>
      <w:pPr>
        <w:ind w:hanging="360" w:left="720"/>
        <w:tabs>
          <w:tab w:val="left" w:pos="720" w:leader="none"/>
        </w:tabs>
      </w:pPr>
      <w:rPr>
        <w:rFonts w:ascii="Times New Roman" w:hAnsi="Times New Roman"/>
      </w:rPr>
    </w:lvl>
    <w:lvl w:ilvl="1" w:tplc="0DC51C51">
      <w:start w:val="1"/>
      <w:numFmt w:val="bullet"/>
      <w:suff w:val="tab"/>
      <w:lvlText w:val="o"/>
      <w:lvlJc w:val="left"/>
      <w:pPr>
        <w:ind w:hanging="360" w:left="1440"/>
        <w:tabs>
          <w:tab w:val="left" w:pos="1440" w:leader="none"/>
        </w:tabs>
      </w:pPr>
      <w:rPr>
        <w:rFonts w:ascii="Courier New" w:hAnsi="Courier New"/>
      </w:rPr>
    </w:lvl>
    <w:lvl w:ilvl="2" w:tplc="11D2EA51">
      <w:start w:val="1"/>
      <w:numFmt w:val="bullet"/>
      <w:suff w:val="tab"/>
      <w:lvlText w:val=""/>
      <w:lvlJc w:val="left"/>
      <w:pPr>
        <w:ind w:hanging="360" w:left="2160"/>
        <w:tabs>
          <w:tab w:val="left" w:pos="2160" w:leader="none"/>
        </w:tabs>
      </w:pPr>
      <w:rPr>
        <w:rFonts w:ascii="Wingdings" w:hAnsi="Wingdings"/>
      </w:rPr>
    </w:lvl>
    <w:lvl w:ilvl="3" w:tplc="362DCFA6">
      <w:start w:val="1"/>
      <w:numFmt w:val="bullet"/>
      <w:suff w:val="tab"/>
      <w:lvlText w:val=""/>
      <w:lvlJc w:val="left"/>
      <w:pPr>
        <w:ind w:hanging="360" w:left="2880"/>
        <w:tabs>
          <w:tab w:val="left" w:pos="2880" w:leader="none"/>
        </w:tabs>
      </w:pPr>
      <w:rPr>
        <w:rFonts w:ascii="Symbol" w:hAnsi="Symbol"/>
      </w:rPr>
    </w:lvl>
    <w:lvl w:ilvl="4" w:tplc="0E69927B">
      <w:start w:val="1"/>
      <w:numFmt w:val="bullet"/>
      <w:suff w:val="tab"/>
      <w:lvlText w:val="o"/>
      <w:lvlJc w:val="left"/>
      <w:pPr>
        <w:ind w:hanging="360" w:left="3600"/>
        <w:tabs>
          <w:tab w:val="left" w:pos="3600" w:leader="none"/>
        </w:tabs>
      </w:pPr>
      <w:rPr>
        <w:rFonts w:ascii="Courier New" w:hAnsi="Courier New"/>
      </w:rPr>
    </w:lvl>
    <w:lvl w:ilvl="5" w:tplc="0529B557">
      <w:start w:val="1"/>
      <w:numFmt w:val="bullet"/>
      <w:suff w:val="tab"/>
      <w:lvlText w:val=""/>
      <w:lvlJc w:val="left"/>
      <w:pPr>
        <w:ind w:hanging="360" w:left="4320"/>
        <w:tabs>
          <w:tab w:val="left" w:pos="4320" w:leader="none"/>
        </w:tabs>
      </w:pPr>
      <w:rPr>
        <w:rFonts w:ascii="Wingdings" w:hAnsi="Wingdings"/>
      </w:rPr>
    </w:lvl>
    <w:lvl w:ilvl="6" w:tplc="67CFEE9E">
      <w:start w:val="1"/>
      <w:numFmt w:val="bullet"/>
      <w:suff w:val="tab"/>
      <w:lvlText w:val=""/>
      <w:lvlJc w:val="left"/>
      <w:pPr>
        <w:ind w:hanging="360" w:left="5040"/>
        <w:tabs>
          <w:tab w:val="left" w:pos="5040" w:leader="none"/>
        </w:tabs>
      </w:pPr>
      <w:rPr>
        <w:rFonts w:ascii="Symbol" w:hAnsi="Symbol"/>
      </w:rPr>
    </w:lvl>
    <w:lvl w:ilvl="7" w:tplc="43F485D1">
      <w:start w:val="1"/>
      <w:numFmt w:val="bullet"/>
      <w:suff w:val="tab"/>
      <w:lvlText w:val="o"/>
      <w:lvlJc w:val="left"/>
      <w:pPr>
        <w:ind w:hanging="360" w:left="5760"/>
        <w:tabs>
          <w:tab w:val="left" w:pos="5760" w:leader="none"/>
        </w:tabs>
      </w:pPr>
      <w:rPr>
        <w:rFonts w:ascii="Courier New" w:hAnsi="Courier New"/>
      </w:rPr>
    </w:lvl>
    <w:lvl w:ilvl="8" w:tplc="0FAA322C">
      <w:start w:val="1"/>
      <w:numFmt w:val="bullet"/>
      <w:suff w:val="tab"/>
      <w:lvlText w:val=""/>
      <w:lvlJc w:val="left"/>
      <w:pPr>
        <w:ind w:hanging="360" w:left="6480"/>
        <w:tabs>
          <w:tab w:val="left" w:pos="6480" w:leader="none"/>
        </w:tabs>
      </w:pPr>
      <w:rPr>
        <w:rFonts w:ascii="Wingdings" w:hAnsi="Wingdings"/>
      </w:rPr>
    </w:lvl>
  </w:abstractNum>
  <w:abstractNum w:abstractNumId="16">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7">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8">
    <w:nsid w:val="3A700CB9"/>
    <w:multiLevelType w:val="hybridMultilevel"/>
    <w:lvl w:ilvl="0" w:tplc="4A7F000E">
      <w:start w:val="1"/>
      <w:numFmt w:val="bullet"/>
      <w:suff w:val="tab"/>
      <w:lvlText w:val=""/>
      <w:lvlJc w:val="left"/>
      <w:pPr>
        <w:ind w:hanging="360" w:left="720"/>
        <w:tabs>
          <w:tab w:val="left" w:pos="720" w:leader="none"/>
        </w:tabs>
      </w:pPr>
      <w:rPr>
        <w:rFonts w:ascii="Symbol" w:hAnsi="Symbol"/>
      </w:rPr>
    </w:lvl>
    <w:lvl w:ilvl="1" w:tplc="1D5F4F5D">
      <w:start w:val="1"/>
      <w:numFmt w:val="bullet"/>
      <w:suff w:val="tab"/>
      <w:lvlText w:val="o"/>
      <w:lvlJc w:val="left"/>
      <w:pPr>
        <w:ind w:hanging="360" w:left="1440"/>
        <w:tabs>
          <w:tab w:val="left" w:pos="1440" w:leader="none"/>
        </w:tabs>
      </w:pPr>
      <w:rPr>
        <w:rFonts w:ascii="Courier New" w:hAnsi="Courier New"/>
      </w:rPr>
    </w:lvl>
    <w:lvl w:ilvl="2" w:tplc="38E843B9">
      <w:start w:val="1"/>
      <w:numFmt w:val="bullet"/>
      <w:suff w:val="tab"/>
      <w:lvlText w:val=""/>
      <w:lvlJc w:val="left"/>
      <w:pPr>
        <w:ind w:hanging="360" w:left="2160"/>
        <w:tabs>
          <w:tab w:val="left" w:pos="2160" w:leader="none"/>
        </w:tabs>
      </w:pPr>
      <w:rPr>
        <w:rFonts w:ascii="Wingdings" w:hAnsi="Wingdings"/>
      </w:rPr>
    </w:lvl>
    <w:lvl w:ilvl="3" w:tplc="02E4635C">
      <w:start w:val="1"/>
      <w:numFmt w:val="bullet"/>
      <w:suff w:val="tab"/>
      <w:lvlText w:val=""/>
      <w:lvlJc w:val="left"/>
      <w:pPr>
        <w:ind w:hanging="360" w:left="2880"/>
        <w:tabs>
          <w:tab w:val="left" w:pos="2880" w:leader="none"/>
        </w:tabs>
      </w:pPr>
      <w:rPr>
        <w:rFonts w:ascii="Symbol" w:hAnsi="Symbol"/>
      </w:rPr>
    </w:lvl>
    <w:lvl w:ilvl="4" w:tplc="1207F704">
      <w:start w:val="1"/>
      <w:numFmt w:val="bullet"/>
      <w:suff w:val="tab"/>
      <w:lvlText w:val="o"/>
      <w:lvlJc w:val="left"/>
      <w:pPr>
        <w:ind w:hanging="360" w:left="3600"/>
        <w:tabs>
          <w:tab w:val="left" w:pos="3600" w:leader="none"/>
        </w:tabs>
      </w:pPr>
      <w:rPr>
        <w:rFonts w:ascii="Courier New" w:hAnsi="Courier New"/>
      </w:rPr>
    </w:lvl>
    <w:lvl w:ilvl="5" w:tplc="10CB828F">
      <w:start w:val="1"/>
      <w:numFmt w:val="bullet"/>
      <w:suff w:val="tab"/>
      <w:lvlText w:val=""/>
      <w:lvlJc w:val="left"/>
      <w:pPr>
        <w:ind w:hanging="360" w:left="4320"/>
        <w:tabs>
          <w:tab w:val="left" w:pos="4320" w:leader="none"/>
        </w:tabs>
      </w:pPr>
      <w:rPr>
        <w:rFonts w:ascii="Wingdings" w:hAnsi="Wingdings"/>
      </w:rPr>
    </w:lvl>
    <w:lvl w:ilvl="6" w:tplc="0835DE52">
      <w:start w:val="1"/>
      <w:numFmt w:val="bullet"/>
      <w:suff w:val="tab"/>
      <w:lvlText w:val=""/>
      <w:lvlJc w:val="left"/>
      <w:pPr>
        <w:ind w:hanging="360" w:left="5040"/>
        <w:tabs>
          <w:tab w:val="left" w:pos="5040" w:leader="none"/>
        </w:tabs>
      </w:pPr>
      <w:rPr>
        <w:rFonts w:ascii="Symbol" w:hAnsi="Symbol"/>
      </w:rPr>
    </w:lvl>
    <w:lvl w:ilvl="7" w:tplc="04BE2690">
      <w:start w:val="1"/>
      <w:numFmt w:val="bullet"/>
      <w:suff w:val="tab"/>
      <w:lvlText w:val="o"/>
      <w:lvlJc w:val="left"/>
      <w:pPr>
        <w:ind w:hanging="360" w:left="5760"/>
        <w:tabs>
          <w:tab w:val="left" w:pos="5760" w:leader="none"/>
        </w:tabs>
      </w:pPr>
      <w:rPr>
        <w:rFonts w:ascii="Courier New" w:hAnsi="Courier New"/>
      </w:rPr>
    </w:lvl>
    <w:lvl w:ilvl="8" w:tplc="6C83D882">
      <w:start w:val="1"/>
      <w:numFmt w:val="bullet"/>
      <w:suff w:val="tab"/>
      <w:lvlText w:val=""/>
      <w:lvlJc w:val="left"/>
      <w:pPr>
        <w:ind w:hanging="360" w:left="6480"/>
        <w:tabs>
          <w:tab w:val="left" w:pos="6480" w:leader="none"/>
        </w:tabs>
      </w:pPr>
      <w:rPr>
        <w:rFonts w:ascii="Wingdings" w:hAnsi="Wingdings"/>
      </w:rPr>
    </w:lvl>
  </w:abstractNum>
  <w:abstractNum w:abstractNumId="19">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0">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1">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3">
    <w:nsid w:val="5A042302"/>
    <w:multiLevelType w:val="hybridMultilevel"/>
    <w:lvl w:ilvl="0" w:tplc="5B8B088A">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2"/>
  </w:num>
  <w:num w:numId="2">
    <w:abstractNumId w:val="12"/>
  </w:num>
  <w:num w:numId="3">
    <w:abstractNumId w:val="16"/>
  </w:num>
  <w:num w:numId="4">
    <w:abstractNumId w:val="26"/>
  </w:num>
  <w:num w:numId="5">
    <w:abstractNumId w:val="30"/>
  </w:num>
  <w:num w:numId="6">
    <w:abstractNumId w:val="9"/>
  </w:num>
  <w:num w:numId="7">
    <w:abstractNumId w:val="24"/>
  </w:num>
  <w:num w:numId="8">
    <w:abstractNumId w:val="5"/>
  </w:num>
  <w:num w:numId="9">
    <w:abstractNumId w:val="8"/>
  </w:num>
  <w:num w:numId="10">
    <w:abstractNumId w:val="10"/>
  </w:num>
  <w:num w:numId="11">
    <w:abstractNumId w:val="20"/>
  </w:num>
  <w:num w:numId="12">
    <w:abstractNumId w:val="21"/>
  </w:num>
  <w:num w:numId="13">
    <w:abstractNumId w:val="34"/>
  </w:num>
  <w:num w:numId="14">
    <w:abstractNumId w:val="29"/>
  </w:num>
  <w:num w:numId="15">
    <w:abstractNumId w:val="28"/>
  </w:num>
  <w:num w:numId="16">
    <w:abstractNumId w:val="18"/>
  </w:num>
  <w:num w:numId="17">
    <w:abstractNumId w:val="19"/>
  </w:num>
  <w:num w:numId="18">
    <w:abstractNumId w:val="31"/>
  </w:num>
  <w:num w:numId="19">
    <w:abstractNumId w:val="13"/>
  </w:num>
  <w:num w:numId="20">
    <w:abstractNumId w:val="6"/>
  </w:num>
  <w:num w:numId="21">
    <w:abstractNumId w:val="1"/>
  </w:num>
  <w:num w:numId="22">
    <w:abstractNumId w:val="23"/>
  </w:num>
  <w:num w:numId="23">
    <w:abstractNumId w:val="32"/>
  </w:num>
  <w:num w:numId="24">
    <w:abstractNumId w:val="27"/>
  </w:num>
  <w:num w:numId="25">
    <w:abstractNumId w:val="14"/>
  </w:num>
  <w:num w:numId="26">
    <w:abstractNumId w:val="33"/>
  </w:num>
  <w:num w:numId="27">
    <w:abstractNumId w:val="4"/>
  </w:num>
  <w:num w:numId="28">
    <w:abstractNumId w:val="25"/>
  </w:num>
  <w:num w:numId="29">
    <w:abstractNumId w:val="7"/>
  </w:num>
  <w:num w:numId="30">
    <w:abstractNumId w:val="17"/>
  </w:num>
  <w:num w:numId="31">
    <w:abstractNumId w:val="0"/>
  </w:num>
  <w:num w:numId="32">
    <w:abstractNumId w:val="15"/>
  </w:num>
  <w:num w:numId="33">
    <w:abstractNumId w:val="3"/>
  </w:num>
  <w:num w:numId="34">
    <w:abstractNumId w:val="11"/>
  </w:num>
  <w:num w:numId="35">
    <w:abstractNumId w:val="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2011-06-27T18:25:00Z</dcterms:created>
  <cp:lastModifiedBy>Ethan Puglia</cp:lastModifiedBy>
  <cp:lastPrinted>2011-06-29T17:14:00Z</cp:lastPrinted>
  <dcterms:modified xsi:type="dcterms:W3CDTF">2019-03-28T17:34:34Z</dcterms:modified>
  <cp:revision>8</cp:revision>
  <dc:title>PROYECTO DE ORDENANZA VIOLENCIA FAMILIAR</dc:title>
</cp:coreProperties>
</file>