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8489EC3" Type="http://schemas.openxmlformats.org/officeDocument/2006/relationships/officeDocument" Target="/word/document.xml" /><Relationship Id="coreR38489EC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8996</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2003/10, iniciado por COSAG Ltda.- Solicitud de Actualización de Tarifa del Servicio de Agua y Desagües Cloacales;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ind w:left="426"/>
        <w:jc w:val="both"/>
      </w:pPr>
    </w:p>
    <w:p>
      <w:pPr>
        <w:ind w:left="426"/>
        <w:jc w:val="both"/>
      </w:pPr>
    </w:p>
    <w:p>
      <w:pPr>
        <w:ind w:left="426"/>
        <w:jc w:val="both"/>
        <w:rPr>
          <w:rStyle w:val="C3"/>
          <w:rFonts w:ascii="Courier New" w:hAnsi="Courier New"/>
        </w:rPr>
      </w:pPr>
      <w:r>
        <w:rPr>
          <w:rStyle w:val="C3"/>
          <w:rFonts w:ascii="Courier New" w:hAnsi="Courier New"/>
        </w:rPr>
        <w:t xml:space="preserve">Que en el mismo la Cooperativa adjunta datos demostrativos de los distintos costos que influyen en la prestación del Servicio del cual es concesionaria;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concretamente solicita el aumento de la Tarifa en un 29,69%;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Fs.10 el Ente Municipal de Servicios Públicos (EMSeP), con fecha 29 de Abril de 2011, opina que es recomendable la actualización de las Tarifa del Servicio en cuestión;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nota de fecha 17 de Mayo de 2011, Cosag Ltda. solicita el tratamiento del aumento pedido y manifiesta que en esta oportunidad no realizará la actualización de Coeficientes Zonales, aplicando solo el porcentaje de aumento que se le otorgue;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 fecha 14 de Junio de 2011, recibe este Honorable Concejo Deliberante el informe de Auditoría realizada en Cosag Ltda., la que había sido solicitada por despacho del Concejo en Comisión del día 24 de Mayo de 2011, de la cual resulta que al 31 de Diciembre del 2010, el cuadro tarifario vigente a ese momento garantizaba la correcta prestación del servicio;</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Gobierno de la Provincia de Córdoba a través de la Dirección General de Estadísticas y Censos, en su índice de precios al consumidor para la Provincia, registró desde el 30 de Diciembre de 2010 al 30 de Abril de 2011 una variación acumulada del 5,1% y respecto del 30 de Marzo de 2011 al 30 de Abril de 2011, una variación del 1,1%;</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además es necesario valorizar los meses de Mayo y Junio, que dicho organismo aún no ha publicado; resultando de tal análisis y tomando como base el porcentual del mes de Abril, con una previsión generosa para ambos meses, del 3%, lo que haría un total del primer semestre del corriente año, del 8%;</w:t>
      </w:r>
    </w:p>
    <w:p>
      <w:pPr>
        <w:ind w:left="426"/>
        <w:jc w:val="both"/>
        <w:rPr>
          <w:rStyle w:val="C3"/>
          <w:rFonts w:ascii="Courier New" w:hAnsi="Courier New"/>
        </w:rPr>
      </w:pPr>
    </w:p>
    <w:p>
      <w:pPr>
        <w:spacing w:after="120"/>
        <w:ind w:left="426"/>
        <w:jc w:val="both"/>
        <w:rPr>
          <w:rStyle w:val="C3"/>
          <w:rFonts w:ascii="Courier New" w:hAnsi="Courier New"/>
        </w:rPr>
      </w:pPr>
      <w:r>
        <w:rPr>
          <w:rStyle w:val="C3"/>
          <w:rFonts w:ascii="Courier New" w:hAnsi="Courier New"/>
        </w:rPr>
        <w:t>Que es necesario, oportuno y conveniente adicionarle a este porcentual los valores no previstos en los índices oficiales, tal cual lo demuestran en la realidad los aumentos constantes en todos los rubros;</w:t>
      </w:r>
    </w:p>
    <w:p>
      <w:pPr>
        <w:ind w:left="426"/>
        <w:jc w:val="both"/>
        <w:rPr>
          <w:rStyle w:val="C3"/>
          <w:rFonts w:ascii="Courier New" w:hAnsi="Courier New"/>
        </w:rPr>
      </w:pPr>
      <w:r>
        <w:rPr>
          <w:rStyle w:val="C3"/>
          <w:rFonts w:ascii="Courier New" w:hAnsi="Courier New"/>
        </w:rPr>
        <w:t>Que analizado el Expediente de referencia por el Concejo en Comisión, el mismo emite despacho favorable, aprobado por unanimidad en Sesión Ordinaria del día 29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OTORGAR </w:t>
      </w:r>
      <w:r>
        <w:rPr>
          <w:rStyle w:val="C3"/>
          <w:rFonts w:ascii="Courier New" w:hAnsi="Courier New"/>
        </w:rPr>
        <w:t>un aumento del VEINTE POR CIENTO (20%), a partir de la promulgación de la presente, a la Tarifa correspondiente al Servicio de conducción, tratamiento y distribución de Agua Potable y recolección y tratamiento de los Efluentes Cloacales de la Ciudad, para el primer semestre del corriente año.-</w:t>
      </w:r>
    </w:p>
    <w:p>
      <w:pPr>
        <w:jc w:val="both"/>
        <w:rPr>
          <w:rStyle w:val="C3"/>
          <w:rFonts w:ascii="Courier New" w:hAnsi="Courier New"/>
          <w:b w:val="1"/>
        </w:rPr>
      </w:pPr>
    </w:p>
    <w:p>
      <w:pPr>
        <w:ind w:hanging="426" w:left="426"/>
        <w:jc w:val="right"/>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 xml:space="preserve">SOLICITAR </w:t>
      </w:r>
      <w:r>
        <w:rPr>
          <w:rStyle w:val="C3"/>
          <w:rFonts w:ascii="Courier New" w:hAnsi="Courier New"/>
        </w:rPr>
        <w:t>al EMSeP, que trabajando en conjunto con la Concesionaria (Cosag Ltda.), genere una fórmula polinómica antes del 30 de Octubre de 2011 donde intervengan todos los rubros que deben ser tenidos en cuenta para realizar la actualización en forma automática, a partir del 01 de Noviembre de 2011 y periódica de la Tarifa en cuestión.-</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29" w:left="142"/>
        <w:jc w:val="both"/>
        <w:rPr>
          <w:rStyle w:val="C3"/>
          <w:rFonts w:ascii="Courier New" w:hAnsi="Courier New"/>
        </w:rPr>
      </w:pPr>
    </w:p>
    <w:p>
      <w:pPr>
        <w:pStyle w:val="P17"/>
        <w:rPr>
          <w:rStyle w:val="C3"/>
        </w:rPr>
      </w:pPr>
    </w:p>
    <w:p>
      <w:pPr>
        <w:pStyle w:val="P17"/>
      </w:pPr>
      <w:r>
        <w:t xml:space="preserve">DADA EN LA SALA DE SESIONES DEL HONORABLE CONCEJO DELIBERANTE A LOS VEINTINUEVE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6F196D3">
      <w:start w:val="0"/>
      <w:numFmt w:val="bullet"/>
      <w:suff w:val="tab"/>
      <w:lvlText w:val=""/>
      <w:lvlJc w:val="left"/>
      <w:pPr>
        <w:ind w:hanging="360" w:left="786"/>
      </w:pPr>
      <w:rPr>
        <w:rFonts w:ascii="Symbol" w:hAnsi="Symbol"/>
      </w:rPr>
    </w:lvl>
    <w:lvl w:ilvl="1" w:tplc="690EC56B">
      <w:start w:val="1"/>
      <w:numFmt w:val="bullet"/>
      <w:suff w:val="tab"/>
      <w:lvlText w:val="o"/>
      <w:lvlJc w:val="left"/>
      <w:pPr>
        <w:ind w:hanging="360" w:left="1506"/>
      </w:pPr>
      <w:rPr>
        <w:rFonts w:ascii="Courier New" w:hAnsi="Courier New"/>
      </w:rPr>
    </w:lvl>
    <w:lvl w:ilvl="2" w:tplc="1A3BF53C">
      <w:start w:val="1"/>
      <w:numFmt w:val="bullet"/>
      <w:suff w:val="tab"/>
      <w:lvlText w:val=""/>
      <w:lvlJc w:val="left"/>
      <w:pPr>
        <w:ind w:hanging="360" w:left="2226"/>
      </w:pPr>
      <w:rPr>
        <w:rFonts w:ascii="Wingdings" w:hAnsi="Wingdings"/>
      </w:rPr>
    </w:lvl>
    <w:lvl w:ilvl="3" w:tplc="351BE2FC">
      <w:start w:val="1"/>
      <w:numFmt w:val="bullet"/>
      <w:suff w:val="tab"/>
      <w:lvlText w:val=""/>
      <w:lvlJc w:val="left"/>
      <w:pPr>
        <w:ind w:hanging="360" w:left="2946"/>
      </w:pPr>
      <w:rPr>
        <w:rFonts w:ascii="Symbol" w:hAnsi="Symbol"/>
      </w:rPr>
    </w:lvl>
    <w:lvl w:ilvl="4" w:tplc="40503787">
      <w:start w:val="1"/>
      <w:numFmt w:val="bullet"/>
      <w:suff w:val="tab"/>
      <w:lvlText w:val="o"/>
      <w:lvlJc w:val="left"/>
      <w:pPr>
        <w:ind w:hanging="360" w:left="3666"/>
      </w:pPr>
      <w:rPr>
        <w:rFonts w:ascii="Courier New" w:hAnsi="Courier New"/>
      </w:rPr>
    </w:lvl>
    <w:lvl w:ilvl="5" w:tplc="77AEF9C2">
      <w:start w:val="1"/>
      <w:numFmt w:val="bullet"/>
      <w:suff w:val="tab"/>
      <w:lvlText w:val=""/>
      <w:lvlJc w:val="left"/>
      <w:pPr>
        <w:ind w:hanging="360" w:left="4386"/>
      </w:pPr>
      <w:rPr>
        <w:rFonts w:ascii="Wingdings" w:hAnsi="Wingdings"/>
      </w:rPr>
    </w:lvl>
    <w:lvl w:ilvl="6" w:tplc="2F297384">
      <w:start w:val="1"/>
      <w:numFmt w:val="bullet"/>
      <w:suff w:val="tab"/>
      <w:lvlText w:val=""/>
      <w:lvlJc w:val="left"/>
      <w:pPr>
        <w:ind w:hanging="360" w:left="5106"/>
      </w:pPr>
      <w:rPr>
        <w:rFonts w:ascii="Symbol" w:hAnsi="Symbol"/>
      </w:rPr>
    </w:lvl>
    <w:lvl w:ilvl="7" w:tplc="50C4820E">
      <w:start w:val="1"/>
      <w:numFmt w:val="bullet"/>
      <w:suff w:val="tab"/>
      <w:lvlText w:val="o"/>
      <w:lvlJc w:val="left"/>
      <w:pPr>
        <w:ind w:hanging="360" w:left="5826"/>
      </w:pPr>
      <w:rPr>
        <w:rFonts w:ascii="Courier New" w:hAnsi="Courier New"/>
      </w:rPr>
    </w:lvl>
    <w:lvl w:ilvl="8" w:tplc="31C2EBEF">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00D93F02">
      <w:start w:val="0"/>
      <w:numFmt w:val="bullet"/>
      <w:suff w:val="tab"/>
      <w:lvlText w:val=""/>
      <w:lvlJc w:val="left"/>
      <w:pPr>
        <w:ind w:hanging="360" w:left="927"/>
      </w:pPr>
      <w:rPr>
        <w:rFonts w:ascii="Symbol" w:hAnsi="Symbol"/>
      </w:rPr>
    </w:lvl>
    <w:lvl w:ilvl="1" w:tplc="4A7B6410">
      <w:start w:val="1"/>
      <w:numFmt w:val="bullet"/>
      <w:suff w:val="tab"/>
      <w:lvlText w:val="o"/>
      <w:lvlJc w:val="left"/>
      <w:pPr>
        <w:ind w:hanging="360" w:left="1647"/>
      </w:pPr>
      <w:rPr>
        <w:rFonts w:ascii="Courier New" w:hAnsi="Courier New"/>
      </w:rPr>
    </w:lvl>
    <w:lvl w:ilvl="2" w:tplc="055142CB">
      <w:start w:val="1"/>
      <w:numFmt w:val="bullet"/>
      <w:suff w:val="tab"/>
      <w:lvlText w:val=""/>
      <w:lvlJc w:val="left"/>
      <w:pPr>
        <w:ind w:hanging="360" w:left="2367"/>
      </w:pPr>
      <w:rPr>
        <w:rFonts w:ascii="Wingdings" w:hAnsi="Wingdings"/>
      </w:rPr>
    </w:lvl>
    <w:lvl w:ilvl="3" w:tplc="359DE892">
      <w:start w:val="1"/>
      <w:numFmt w:val="bullet"/>
      <w:suff w:val="tab"/>
      <w:lvlText w:val=""/>
      <w:lvlJc w:val="left"/>
      <w:pPr>
        <w:ind w:hanging="360" w:left="3087"/>
      </w:pPr>
      <w:rPr>
        <w:rFonts w:ascii="Symbol" w:hAnsi="Symbol"/>
      </w:rPr>
    </w:lvl>
    <w:lvl w:ilvl="4" w:tplc="59EDEFAE">
      <w:start w:val="1"/>
      <w:numFmt w:val="bullet"/>
      <w:suff w:val="tab"/>
      <w:lvlText w:val="o"/>
      <w:lvlJc w:val="left"/>
      <w:pPr>
        <w:ind w:hanging="360" w:left="3807"/>
      </w:pPr>
      <w:rPr>
        <w:rFonts w:ascii="Courier New" w:hAnsi="Courier New"/>
      </w:rPr>
    </w:lvl>
    <w:lvl w:ilvl="5" w:tplc="7935268F">
      <w:start w:val="1"/>
      <w:numFmt w:val="bullet"/>
      <w:suff w:val="tab"/>
      <w:lvlText w:val=""/>
      <w:lvlJc w:val="left"/>
      <w:pPr>
        <w:ind w:hanging="360" w:left="4527"/>
      </w:pPr>
      <w:rPr>
        <w:rFonts w:ascii="Wingdings" w:hAnsi="Wingdings"/>
      </w:rPr>
    </w:lvl>
    <w:lvl w:ilvl="6" w:tplc="56BD6778">
      <w:start w:val="1"/>
      <w:numFmt w:val="bullet"/>
      <w:suff w:val="tab"/>
      <w:lvlText w:val=""/>
      <w:lvlJc w:val="left"/>
      <w:pPr>
        <w:ind w:hanging="360" w:left="5247"/>
      </w:pPr>
      <w:rPr>
        <w:rFonts w:ascii="Symbol" w:hAnsi="Symbol"/>
      </w:rPr>
    </w:lvl>
    <w:lvl w:ilvl="7" w:tplc="543494EE">
      <w:start w:val="1"/>
      <w:numFmt w:val="bullet"/>
      <w:suff w:val="tab"/>
      <w:lvlText w:val="o"/>
      <w:lvlJc w:val="left"/>
      <w:pPr>
        <w:ind w:hanging="360" w:left="5967"/>
      </w:pPr>
      <w:rPr>
        <w:rFonts w:ascii="Courier New" w:hAnsi="Courier New"/>
      </w:rPr>
    </w:lvl>
    <w:lvl w:ilvl="8" w:tplc="41D8F558">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1F507F8F">
      <w:start w:val="1"/>
      <w:numFmt w:val="bullet"/>
      <w:suff w:val="tab"/>
      <w:lvlText w:val=""/>
      <w:lvlJc w:val="left"/>
      <w:pPr>
        <w:ind w:hanging="360" w:left="1146"/>
      </w:pPr>
      <w:rPr>
        <w:rFonts w:ascii="Symbol" w:hAnsi="Symbol"/>
      </w:rPr>
    </w:lvl>
    <w:lvl w:ilvl="1" w:tplc="4E589F17">
      <w:start w:val="1"/>
      <w:numFmt w:val="bullet"/>
      <w:suff w:val="tab"/>
      <w:lvlText w:val="o"/>
      <w:lvlJc w:val="left"/>
      <w:pPr>
        <w:ind w:hanging="360" w:left="1866"/>
      </w:pPr>
      <w:rPr>
        <w:rFonts w:ascii="Courier New" w:hAnsi="Courier New"/>
      </w:rPr>
    </w:lvl>
    <w:lvl w:ilvl="2" w:tplc="5BCB21AD">
      <w:start w:val="1"/>
      <w:numFmt w:val="bullet"/>
      <w:suff w:val="tab"/>
      <w:lvlText w:val=""/>
      <w:lvlJc w:val="left"/>
      <w:pPr>
        <w:ind w:hanging="360" w:left="2586"/>
      </w:pPr>
      <w:rPr>
        <w:rFonts w:ascii="Wingdings" w:hAnsi="Wingdings"/>
      </w:rPr>
    </w:lvl>
    <w:lvl w:ilvl="3" w:tplc="7A05A377">
      <w:start w:val="1"/>
      <w:numFmt w:val="bullet"/>
      <w:suff w:val="tab"/>
      <w:lvlText w:val=""/>
      <w:lvlJc w:val="left"/>
      <w:pPr>
        <w:ind w:hanging="360" w:left="3306"/>
      </w:pPr>
      <w:rPr>
        <w:rFonts w:ascii="Symbol" w:hAnsi="Symbol"/>
      </w:rPr>
    </w:lvl>
    <w:lvl w:ilvl="4" w:tplc="263395FA">
      <w:start w:val="1"/>
      <w:numFmt w:val="bullet"/>
      <w:suff w:val="tab"/>
      <w:lvlText w:val="o"/>
      <w:lvlJc w:val="left"/>
      <w:pPr>
        <w:ind w:hanging="360" w:left="4026"/>
      </w:pPr>
      <w:rPr>
        <w:rFonts w:ascii="Courier New" w:hAnsi="Courier New"/>
      </w:rPr>
    </w:lvl>
    <w:lvl w:ilvl="5" w:tplc="1BCB3651">
      <w:start w:val="1"/>
      <w:numFmt w:val="bullet"/>
      <w:suff w:val="tab"/>
      <w:lvlText w:val=""/>
      <w:lvlJc w:val="left"/>
      <w:pPr>
        <w:ind w:hanging="360" w:left="4746"/>
      </w:pPr>
      <w:rPr>
        <w:rFonts w:ascii="Wingdings" w:hAnsi="Wingdings"/>
      </w:rPr>
    </w:lvl>
    <w:lvl w:ilvl="6" w:tplc="1246A864">
      <w:start w:val="1"/>
      <w:numFmt w:val="bullet"/>
      <w:suff w:val="tab"/>
      <w:lvlText w:val=""/>
      <w:lvlJc w:val="left"/>
      <w:pPr>
        <w:ind w:hanging="360" w:left="5466"/>
      </w:pPr>
      <w:rPr>
        <w:rFonts w:ascii="Symbol" w:hAnsi="Symbol"/>
      </w:rPr>
    </w:lvl>
    <w:lvl w:ilvl="7" w:tplc="78E4A5B3">
      <w:start w:val="1"/>
      <w:numFmt w:val="bullet"/>
      <w:suff w:val="tab"/>
      <w:lvlText w:val="o"/>
      <w:lvlJc w:val="left"/>
      <w:pPr>
        <w:ind w:hanging="360" w:left="6186"/>
      </w:pPr>
      <w:rPr>
        <w:rFonts w:ascii="Courier New" w:hAnsi="Courier New"/>
      </w:rPr>
    </w:lvl>
    <w:lvl w:ilvl="8" w:tplc="0BFDC6C7">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6AA28781">
      <w:start w:val="0"/>
      <w:numFmt w:val="bullet"/>
      <w:suff w:val="tab"/>
      <w:lvlText w:val="-"/>
      <w:lvlJc w:val="left"/>
      <w:pPr>
        <w:ind w:hanging="360" w:left="720"/>
        <w:tabs>
          <w:tab w:val="left" w:pos="720" w:leader="none"/>
        </w:tabs>
      </w:pPr>
      <w:rPr>
        <w:rFonts w:ascii="Times New Roman" w:hAnsi="Times New Roman"/>
      </w:rPr>
    </w:lvl>
    <w:lvl w:ilvl="1" w:tplc="6FADA167">
      <w:start w:val="1"/>
      <w:numFmt w:val="bullet"/>
      <w:suff w:val="tab"/>
      <w:lvlText w:val="o"/>
      <w:lvlJc w:val="left"/>
      <w:pPr>
        <w:ind w:hanging="360" w:left="1440"/>
        <w:tabs>
          <w:tab w:val="left" w:pos="1440" w:leader="none"/>
        </w:tabs>
      </w:pPr>
      <w:rPr>
        <w:rFonts w:ascii="Courier New" w:hAnsi="Courier New"/>
      </w:rPr>
    </w:lvl>
    <w:lvl w:ilvl="2" w:tplc="644E74F0">
      <w:start w:val="1"/>
      <w:numFmt w:val="bullet"/>
      <w:suff w:val="tab"/>
      <w:lvlText w:val=""/>
      <w:lvlJc w:val="left"/>
      <w:pPr>
        <w:ind w:hanging="360" w:left="2160"/>
        <w:tabs>
          <w:tab w:val="left" w:pos="2160" w:leader="none"/>
        </w:tabs>
      </w:pPr>
      <w:rPr>
        <w:rFonts w:ascii="Wingdings" w:hAnsi="Wingdings"/>
      </w:rPr>
    </w:lvl>
    <w:lvl w:ilvl="3" w:tplc="114A8965">
      <w:start w:val="1"/>
      <w:numFmt w:val="bullet"/>
      <w:suff w:val="tab"/>
      <w:lvlText w:val=""/>
      <w:lvlJc w:val="left"/>
      <w:pPr>
        <w:ind w:hanging="360" w:left="2880"/>
        <w:tabs>
          <w:tab w:val="left" w:pos="2880" w:leader="none"/>
        </w:tabs>
      </w:pPr>
      <w:rPr>
        <w:rFonts w:ascii="Symbol" w:hAnsi="Symbol"/>
      </w:rPr>
    </w:lvl>
    <w:lvl w:ilvl="4" w:tplc="5C991D0B">
      <w:start w:val="1"/>
      <w:numFmt w:val="bullet"/>
      <w:suff w:val="tab"/>
      <w:lvlText w:val="o"/>
      <w:lvlJc w:val="left"/>
      <w:pPr>
        <w:ind w:hanging="360" w:left="3600"/>
        <w:tabs>
          <w:tab w:val="left" w:pos="3600" w:leader="none"/>
        </w:tabs>
      </w:pPr>
      <w:rPr>
        <w:rFonts w:ascii="Courier New" w:hAnsi="Courier New"/>
      </w:rPr>
    </w:lvl>
    <w:lvl w:ilvl="5" w:tplc="34312FCA">
      <w:start w:val="1"/>
      <w:numFmt w:val="bullet"/>
      <w:suff w:val="tab"/>
      <w:lvlText w:val=""/>
      <w:lvlJc w:val="left"/>
      <w:pPr>
        <w:ind w:hanging="360" w:left="4320"/>
        <w:tabs>
          <w:tab w:val="left" w:pos="4320" w:leader="none"/>
        </w:tabs>
      </w:pPr>
      <w:rPr>
        <w:rFonts w:ascii="Wingdings" w:hAnsi="Wingdings"/>
      </w:rPr>
    </w:lvl>
    <w:lvl w:ilvl="6" w:tplc="0F2902AC">
      <w:start w:val="1"/>
      <w:numFmt w:val="bullet"/>
      <w:suff w:val="tab"/>
      <w:lvlText w:val=""/>
      <w:lvlJc w:val="left"/>
      <w:pPr>
        <w:ind w:hanging="360" w:left="5040"/>
        <w:tabs>
          <w:tab w:val="left" w:pos="5040" w:leader="none"/>
        </w:tabs>
      </w:pPr>
      <w:rPr>
        <w:rFonts w:ascii="Symbol" w:hAnsi="Symbol"/>
      </w:rPr>
    </w:lvl>
    <w:lvl w:ilvl="7" w:tplc="56FCA03F">
      <w:start w:val="1"/>
      <w:numFmt w:val="bullet"/>
      <w:suff w:val="tab"/>
      <w:lvlText w:val="o"/>
      <w:lvlJc w:val="left"/>
      <w:pPr>
        <w:ind w:hanging="360" w:left="5760"/>
        <w:tabs>
          <w:tab w:val="left" w:pos="5760" w:leader="none"/>
        </w:tabs>
      </w:pPr>
      <w:rPr>
        <w:rFonts w:ascii="Courier New" w:hAnsi="Courier New"/>
      </w:rPr>
    </w:lvl>
    <w:lvl w:ilvl="8" w:tplc="7FCEBB49">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30BD1F0E">
      <w:start w:val="1"/>
      <w:numFmt w:val="bullet"/>
      <w:suff w:val="tab"/>
      <w:lvlText w:val=""/>
      <w:lvlJc w:val="left"/>
      <w:pPr>
        <w:ind w:hanging="360" w:left="720"/>
        <w:tabs>
          <w:tab w:val="left" w:pos="720" w:leader="none"/>
        </w:tabs>
      </w:pPr>
      <w:rPr>
        <w:rFonts w:ascii="Symbol" w:hAnsi="Symbol"/>
      </w:rPr>
    </w:lvl>
    <w:lvl w:ilvl="1" w:tplc="02E2FFB7">
      <w:start w:val="1"/>
      <w:numFmt w:val="bullet"/>
      <w:suff w:val="tab"/>
      <w:lvlText w:val="o"/>
      <w:lvlJc w:val="left"/>
      <w:pPr>
        <w:ind w:hanging="360" w:left="1440"/>
        <w:tabs>
          <w:tab w:val="left" w:pos="1440" w:leader="none"/>
        </w:tabs>
      </w:pPr>
      <w:rPr>
        <w:rFonts w:ascii="Courier New" w:hAnsi="Courier New"/>
      </w:rPr>
    </w:lvl>
    <w:lvl w:ilvl="2" w:tplc="78557755">
      <w:start w:val="1"/>
      <w:numFmt w:val="bullet"/>
      <w:suff w:val="tab"/>
      <w:lvlText w:val=""/>
      <w:lvlJc w:val="left"/>
      <w:pPr>
        <w:ind w:hanging="360" w:left="2160"/>
        <w:tabs>
          <w:tab w:val="left" w:pos="2160" w:leader="none"/>
        </w:tabs>
      </w:pPr>
      <w:rPr>
        <w:rFonts w:ascii="Wingdings" w:hAnsi="Wingdings"/>
      </w:rPr>
    </w:lvl>
    <w:lvl w:ilvl="3" w:tplc="1EFF36DA">
      <w:start w:val="1"/>
      <w:numFmt w:val="bullet"/>
      <w:suff w:val="tab"/>
      <w:lvlText w:val=""/>
      <w:lvlJc w:val="left"/>
      <w:pPr>
        <w:ind w:hanging="360" w:left="2880"/>
        <w:tabs>
          <w:tab w:val="left" w:pos="2880" w:leader="none"/>
        </w:tabs>
      </w:pPr>
      <w:rPr>
        <w:rFonts w:ascii="Symbol" w:hAnsi="Symbol"/>
      </w:rPr>
    </w:lvl>
    <w:lvl w:ilvl="4" w:tplc="41CB716F">
      <w:start w:val="1"/>
      <w:numFmt w:val="bullet"/>
      <w:suff w:val="tab"/>
      <w:lvlText w:val="o"/>
      <w:lvlJc w:val="left"/>
      <w:pPr>
        <w:ind w:hanging="360" w:left="3600"/>
        <w:tabs>
          <w:tab w:val="left" w:pos="3600" w:leader="none"/>
        </w:tabs>
      </w:pPr>
      <w:rPr>
        <w:rFonts w:ascii="Courier New" w:hAnsi="Courier New"/>
      </w:rPr>
    </w:lvl>
    <w:lvl w:ilvl="5" w:tplc="71B81A34">
      <w:start w:val="1"/>
      <w:numFmt w:val="bullet"/>
      <w:suff w:val="tab"/>
      <w:lvlText w:val=""/>
      <w:lvlJc w:val="left"/>
      <w:pPr>
        <w:ind w:hanging="360" w:left="4320"/>
        <w:tabs>
          <w:tab w:val="left" w:pos="4320" w:leader="none"/>
        </w:tabs>
      </w:pPr>
      <w:rPr>
        <w:rFonts w:ascii="Wingdings" w:hAnsi="Wingdings"/>
      </w:rPr>
    </w:lvl>
    <w:lvl w:ilvl="6" w:tplc="5BB16770">
      <w:start w:val="1"/>
      <w:numFmt w:val="bullet"/>
      <w:suff w:val="tab"/>
      <w:lvlText w:val=""/>
      <w:lvlJc w:val="left"/>
      <w:pPr>
        <w:ind w:hanging="360" w:left="5040"/>
        <w:tabs>
          <w:tab w:val="left" w:pos="5040" w:leader="none"/>
        </w:tabs>
      </w:pPr>
      <w:rPr>
        <w:rFonts w:ascii="Symbol" w:hAnsi="Symbol"/>
      </w:rPr>
    </w:lvl>
    <w:lvl w:ilvl="7" w:tplc="54AAC7CD">
      <w:start w:val="1"/>
      <w:numFmt w:val="bullet"/>
      <w:suff w:val="tab"/>
      <w:lvlText w:val="o"/>
      <w:lvlJc w:val="left"/>
      <w:pPr>
        <w:ind w:hanging="360" w:left="5760"/>
        <w:tabs>
          <w:tab w:val="left" w:pos="5760" w:leader="none"/>
        </w:tabs>
      </w:pPr>
      <w:rPr>
        <w:rFonts w:ascii="Courier New" w:hAnsi="Courier New"/>
      </w:rPr>
    </w:lvl>
    <w:lvl w:ilvl="8" w:tplc="6F53B3FB">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61B233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2011-06-29T14:22:00Z</dcterms:created>
  <cp:lastModifiedBy>Ethan Puglia</cp:lastModifiedBy>
  <cp:lastPrinted>2011-06-29T15:13:00Z</cp:lastPrinted>
  <dcterms:modified xsi:type="dcterms:W3CDTF">2019-03-28T17:34:34Z</dcterms:modified>
  <cp:revision>11</cp:revision>
  <dc:title>PROYECTO DE ORDENANZA VIOLENCIA FAMILIAR</dc:title>
</cp:coreProperties>
</file>