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5B00D82" Type="http://schemas.openxmlformats.org/officeDocument/2006/relationships/officeDocument" Target="/word/document.xml" /><Relationship Id="coreR25B00D82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</w:pPr>
      <w:r>
        <w:t>ORDENANZA Nº 9001</w:t>
      </w:r>
    </w:p>
    <w:p>
      <w:pPr>
        <w:rPr>
          <w:rStyle w:val="C3"/>
          <w:rFonts w:ascii="Courier New" w:hAnsi="Courier New"/>
        </w:rPr>
      </w:pPr>
    </w:p>
    <w:p>
      <w:pPr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1288/06; y </w:t>
      </w: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ab/>
      </w: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</w:p>
    <w:p>
      <w:pPr>
        <w:pStyle w:val="P2"/>
      </w:pPr>
      <w:r>
        <w:t>C O N S I D E R A N D O</w:t>
      </w:r>
    </w:p>
    <w:p>
      <w:pPr>
        <w:ind w:left="426"/>
        <w:jc w:val="both"/>
      </w:pPr>
    </w:p>
    <w:p>
      <w:pPr>
        <w:ind w:left="426"/>
        <w:jc w:val="both"/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través del mismo y mediante nota la Sra. Elsa Maurelli de García solicita eximición de la deuda que en concepto de Tasa por Servicios de Administración y Mantenimiento de los Cementerios mantiene con la Municipalidad de Alta Gracia la identificación 002495, así como también la reducción y traslado de los restos en ella contenida (en vida su madre) a la sepultura donde se encuentra su marido;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Fs.7 obra Relevamiento Socioeconómico y Ambiental de fecha 15/11/06 del cual se desprende que la solicitante cuenta con una pensión graciable, recibe ayuda para los gastos en materia de alimentación y padece problemas de salud;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Fs.11 obra cedula de notificación mediante la cual se noticia a la solicitante el inicio de acciones judiciales;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según nuevo Relevamiento Socioeconómico y Ambiental la peticionante convive con su hija y dos nietas y se encuentra pensionada;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Fs.21/23 se adjunta estado de cuenta en la cual se observa que parte de la misma se encuentra en gestión judicial;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 Fs.24 Administración del Cementerio informa del fallecimiento de la solicitante y sugiere el traslado de los restos de la identificación 2495 a la identificación 7997;           </w:t>
      </w:r>
    </w:p>
    <w:p>
      <w:pPr>
        <w:ind w:left="426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 por la Comisión de Hacienda, la misma emite despacho favorable, aprobado por unanimidad en Sesión Ordinaria del día 13 de Julio de 2011;</w:t>
      </w: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>: AUTORIZAR</w:t>
      </w:r>
      <w:r>
        <w:rPr>
          <w:rStyle w:val="C3"/>
          <w:rFonts w:ascii="Courier New" w:hAnsi="Courier New"/>
        </w:rPr>
        <w:t xml:space="preserve"> el traslado de los restos contenidos en la identificación 2495 a la identificación 7997 según solicitado a Fs.2 y Fs.24.-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  <w:b w:val="1"/>
        </w:rPr>
        <w:t xml:space="preserve">: EXIMIR </w:t>
      </w:r>
      <w:r>
        <w:rPr>
          <w:rStyle w:val="C3"/>
          <w:rFonts w:ascii="Courier New" w:hAnsi="Courier New"/>
        </w:rPr>
        <w:t>el CIEN POR CIENTO (100%) de la deuda que hasta el traslado autorizado, mantiene con la Municipalidad de Alta Gracia en concepto de Tasa por Administración y Mantenimiento de los Cementerios la Identificación 2495 y todos los gastos inherentes a la disposición precedente.-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Art.3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SOLICITAR</w:t>
      </w:r>
      <w:r>
        <w:rPr>
          <w:rStyle w:val="C3"/>
          <w:rFonts w:ascii="Courier New" w:hAnsi="Courier New"/>
        </w:rPr>
        <w:t xml:space="preserve"> al Sr. Intendente Municipal que interceda ante el o los procuradores actuantes a los fines de dejar sin efecto el o los juicios iniciados, así como también los honorarios generados.-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4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</w:t>
      </w:r>
    </w:p>
    <w:p>
      <w:pPr>
        <w:ind w:hanging="29" w:left="142"/>
        <w:jc w:val="both"/>
        <w:rPr>
          <w:rStyle w:val="C3"/>
          <w:rFonts w:ascii="Courier New" w:hAnsi="Courier New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TRECE DÍAS DEL MES DE JULIO DEL AÑO DOS MIL ONCE.- </w:t>
      </w: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  <w:r>
      <w:rPr>
        <w:rStyle w:val="C3"/>
        <w:rFonts w:ascii="Courier New" w:hAnsi="Courier New"/>
      </w:rPr>
      <w:t>...///</w:t>
    </w:r>
    <w:r>
      <w:rPr>
        <w:rStyle w:val="C3"/>
        <w:rFonts w:ascii="Courier New" w:hAnsi="Courier New"/>
      </w:rPr>
      <w:fldChar w:fldCharType="begin"/>
    </w:r>
    <w:r>
      <w:rPr>
        <w:rStyle w:val="C3"/>
        <w:rFonts w:ascii="Courier New" w:hAnsi="Courier New"/>
      </w:rPr>
      <w:instrText xml:space="preserve">PAGE   \* MERGEFORMAT</w:instrText>
    </w:r>
    <w:r>
      <w:rPr>
        <w:rStyle w:val="C3"/>
        <w:rFonts w:ascii="Courier New" w:hAnsi="Courier New"/>
      </w:rPr>
      <w:fldChar w:fldCharType="separate"/>
    </w:r>
    <w:r>
      <w:rPr>
        <w:rStyle w:val="C3"/>
        <w:rFonts w:ascii="Courier New" w:hAnsi="Courier New"/>
      </w:rPr>
      <w:t>#</w:t>
    </w:r>
    <w:r>
      <w:rPr>
        <w:rStyle w:val="C3"/>
        <w:rFonts w:ascii="Courier New" w:hAnsi="Courier New"/>
      </w:rPr>
      <w:fldChar w:fldCharType="end"/>
    </w:r>
    <w:r>
      <w:rPr>
        <w:rStyle w:val="C3"/>
        <w:rFonts w:ascii="Courier New" w:hAnsi="Courier New"/>
      </w:rPr>
      <w:t>.-</w:t>
    </w: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58506377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5B302D1C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01C21082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406F1F22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2A163490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5A00CD61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5DF4F836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5A722BC9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4E47D7FC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5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6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7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8">
    <w:nsid w:val="145A66F1"/>
    <w:multiLevelType w:val="hybridMultilevel"/>
    <w:lvl w:ilvl="0" w:tplc="62952574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1C8704F0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36D11971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34A8D324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003CCF35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0F992D11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09BD2808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076989F3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7065CE57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9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0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1">
    <w:nsid w:val="1D433FF4"/>
    <w:multiLevelType w:val="hybridMultilevel"/>
    <w:lvl w:ilvl="0" w:tplc="0B08D054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0B294332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24C40EFF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68001A9E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7B4F3110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4E8E60D9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6F58D606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51823F41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1A52BC67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2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3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4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24F459C5"/>
    <w:multiLevelType w:val="hybridMultilevel"/>
    <w:lvl w:ilvl="0" w:tplc="58D921E7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22536ED1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5D6827EA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0928E13D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4B8FBF81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3B7D0C91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17EB3FA7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2F58B99C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639E3E03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6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7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8">
    <w:nsid w:val="3A700CB9"/>
    <w:multiLevelType w:val="hybridMultilevel"/>
    <w:lvl w:ilvl="0" w:tplc="5A04027B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117B8C38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0348A78D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4D45CBD9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1D7633CF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3F6E3F57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0CDEB9E9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10E5F0F6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0171F141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9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0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1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2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3">
    <w:nsid w:val="5A042302"/>
    <w:multiLevelType w:val="hybridMultilevel"/>
    <w:lvl w:ilvl="0" w:tplc="26CE9E5B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4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5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7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8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9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1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32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2"/>
  </w:num>
  <w:num w:numId="2">
    <w:abstractNumId w:val="12"/>
  </w:num>
  <w:num w:numId="3">
    <w:abstractNumId w:val="16"/>
  </w:num>
  <w:num w:numId="4">
    <w:abstractNumId w:val="26"/>
  </w:num>
  <w:num w:numId="5">
    <w:abstractNumId w:val="30"/>
  </w:num>
  <w:num w:numId="6">
    <w:abstractNumId w:val="9"/>
  </w:num>
  <w:num w:numId="7">
    <w:abstractNumId w:val="24"/>
  </w:num>
  <w:num w:numId="8">
    <w:abstractNumId w:val="5"/>
  </w:num>
  <w:num w:numId="9">
    <w:abstractNumId w:val="8"/>
  </w:num>
  <w:num w:numId="10">
    <w:abstractNumId w:val="10"/>
  </w:num>
  <w:num w:numId="11">
    <w:abstractNumId w:val="20"/>
  </w:num>
  <w:num w:numId="12">
    <w:abstractNumId w:val="21"/>
  </w:num>
  <w:num w:numId="13">
    <w:abstractNumId w:val="34"/>
  </w:num>
  <w:num w:numId="14">
    <w:abstractNumId w:val="29"/>
  </w:num>
  <w:num w:numId="15">
    <w:abstractNumId w:val="28"/>
  </w:num>
  <w:num w:numId="16">
    <w:abstractNumId w:val="18"/>
  </w:num>
  <w:num w:numId="17">
    <w:abstractNumId w:val="19"/>
  </w:num>
  <w:num w:numId="18">
    <w:abstractNumId w:val="31"/>
  </w:num>
  <w:num w:numId="19">
    <w:abstractNumId w:val="13"/>
  </w:num>
  <w:num w:numId="20">
    <w:abstractNumId w:val="6"/>
  </w:num>
  <w:num w:numId="21">
    <w:abstractNumId w:val="1"/>
  </w:num>
  <w:num w:numId="22">
    <w:abstractNumId w:val="23"/>
  </w:num>
  <w:num w:numId="23">
    <w:abstractNumId w:val="32"/>
  </w:num>
  <w:num w:numId="24">
    <w:abstractNumId w:val="27"/>
  </w:num>
  <w:num w:numId="25">
    <w:abstractNumId w:val="14"/>
  </w:num>
  <w:num w:numId="26">
    <w:abstractNumId w:val="33"/>
  </w:num>
  <w:num w:numId="27">
    <w:abstractNumId w:val="4"/>
  </w:num>
  <w:num w:numId="28">
    <w:abstractNumId w:val="25"/>
  </w:num>
  <w:num w:numId="29">
    <w:abstractNumId w:val="7"/>
  </w:num>
  <w:num w:numId="30">
    <w:abstractNumId w:val="17"/>
  </w:num>
  <w:num w:numId="31">
    <w:abstractNumId w:val="0"/>
  </w:num>
  <w:num w:numId="32">
    <w:abstractNumId w:val="15"/>
  </w:num>
  <w:num w:numId="33">
    <w:abstractNumId w:val="3"/>
  </w:num>
  <w:num w:numId="34">
    <w:abstractNumId w:val="11"/>
  </w:num>
  <w:num w:numId="35">
    <w:abstractNumId w:val="2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2011-07-13T14:11:00Z</dcterms:created>
  <cp:lastModifiedBy>Ethan Puglia</cp:lastModifiedBy>
  <cp:lastPrinted>2011-08-02T12:57:00Z</cp:lastPrinted>
  <dcterms:modified xsi:type="dcterms:W3CDTF">2019-03-28T17:34:34Z</dcterms:modified>
  <cp:revision>7</cp:revision>
  <dc:title>PROYECTO DE ORDENANZA VIOLENCIA FAMILIAR</dc:title>
</cp:coreProperties>
</file>