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702747C" Type="http://schemas.openxmlformats.org/officeDocument/2006/relationships/officeDocument" Target="/word/document.xml" /><Relationship Id="coreR6702747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9006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68/11;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426"/>
        <w:jc w:val="both"/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María Teresa Torres solicita beneficios especiales para la cancelación de la deuda que en concepto de Tasa por Servicios a la Propiedad mantiene con la Municipalidad de Alta Gracia el inmueble Designación Catastral 01-01-348-004 Cta.00026323;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a Fs.3 que el inmueble de referencia se encuentra a nombre de la peticionante siendo esta su única propiedad;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se desprende que se trata de una familia ubicada por debajo de la línea de la pobreza y la solicitante padece serios problemas de salud;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Fs.13/16 obra Estado de Cuenta donde se observa que se han realizado planes de pagos por deudas anteriores los cuales han sido abonados;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Fs.18 la Dirección de Ingresos Públicos, informa a este Honorable Concejo Deliberante que el inmueble de referencia se encuentra dentro de la zona 10;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tabs>
          <w:tab w:val="left" w:pos="1662" w:leader="none"/>
        </w:tabs>
        <w:ind w:left="567"/>
        <w:jc w:val="left"/>
        <w:rPr>
          <w:rStyle w:val="C3"/>
          <w:b w:val="1"/>
        </w:rPr>
      </w:pPr>
      <w:r>
        <w:rPr>
          <w:rStyle w:val="C3"/>
          <w:b w:val="1"/>
        </w:rPr>
        <w:tab/>
      </w: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CONCEDER </w:t>
      </w:r>
      <w:r>
        <w:rPr>
          <w:rStyle w:val="C3"/>
          <w:rFonts w:ascii="Courier New" w:hAnsi="Courier New"/>
        </w:rPr>
        <w:t>a la Sra. María Teresa Torres DNI 5.635.760, el beneficio estipulado en la Ordenanza Nº 3874 Art.78º inc.4 y sus modificatorias, correspondientes al inmueble Designación Catastral 01-01-348-004 Cta.00026323, a partir del período 01/11.-</w:t>
      </w:r>
      <w:r>
        <w:rPr>
          <w:rStyle w:val="C3"/>
          <w:rFonts w:ascii="Courier New" w:hAnsi="Courier New"/>
          <w:b w:val="1"/>
        </w:rPr>
        <w:t xml:space="preserve">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ESTABLECER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que por cada cuota actual abonada en término en concepto de Tasa por Servicios a la Propiedad correspondiente al inmueble Designación Catastral 01-01-348-004 Cta.00026323 eximir TRES (3) de la cuota anterior.-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El </w:t>
      </w:r>
      <w:r>
        <w:rPr>
          <w:rStyle w:val="C3"/>
          <w:rFonts w:ascii="Courier New" w:hAnsi="Courier New"/>
        </w:rPr>
        <w:t>beneficio caducará automáticamente en caso de venta o cambio de titularidad del inmueble.-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9969C9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EE2D67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CEDAB1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43522D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E3AC39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0EC237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152C08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6C699D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3E9373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BF2803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4B11F8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575ED1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189346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BDD563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D7DEDD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E5472B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D76A22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15B716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6D2310E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2255DC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56CF13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E176E5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C5BF49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EC1A65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5CEB3E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8BD1C6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AD2928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25B5C4E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A7EC55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DC5865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792191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8CC527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88F347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2F595F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790807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874A16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21308D1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FD9784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50CFB6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5D9745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6FA6FC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E2C6C8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2DEF82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9B1823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22D9FF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08885B5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2011-07-15T11:01:00Z</dcterms:created>
  <cp:lastModifiedBy>Ethan Puglia</cp:lastModifiedBy>
  <cp:lastPrinted>2011-08-02T14:29:00Z</cp:lastPrinted>
  <dcterms:modified xsi:type="dcterms:W3CDTF">2019-03-28T17:34:35Z</dcterms:modified>
  <cp:revision>6</cp:revision>
  <dc:title>PROYECTO DE ORDENANZA VIOLENCIA FAMILIAR</dc:title>
</cp:coreProperties>
</file>