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931F263" Type="http://schemas.openxmlformats.org/officeDocument/2006/relationships/officeDocument" Target="/word/document.xml" /><Relationship Id="coreR931F26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9024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</w:t>
      </w:r>
      <w:r>
        <w:rPr>
          <w:rStyle w:val="C14"/>
          <w:rFonts w:ascii="Courier New" w:hAnsi="Courier New"/>
          <w:i w:val="1"/>
        </w:rPr>
        <w:t>El Expediente Nº 49/11</w:t>
      </w:r>
      <w:r>
        <w:rPr>
          <w:rStyle w:val="C3"/>
          <w:rFonts w:ascii="Courier New" w:hAnsi="Courier New"/>
        </w:rPr>
        <w:t xml:space="preserve">; y 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left="28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nota obrante a Fs.2 la Sra. Mirta Maldonado DNI 14.177.067, solicita eximición de la deuda que en concepto de Tasa por Servicios a la Propiedad mantiene con la Municipalidad de Alta Gracia el inmueble Designación Catastral 01-01-281-009 Cta. 00025882, como así también de la deuda que en concepto de Tasa por Servicios de Administración y Mantenimiento de los Cementerios recae sobre la identificación 007584;</w:t>
      </w:r>
    </w:p>
    <w:p>
      <w:pPr>
        <w:ind w:left="284"/>
        <w:jc w:val="both"/>
        <w:rPr>
          <w:rStyle w:val="C3"/>
          <w:rFonts w:ascii="Courier New" w:hAnsi="Courier New"/>
        </w:rPr>
      </w:pPr>
    </w:p>
    <w:p>
      <w:pPr>
        <w:ind w:left="28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Fs.8 obra Relevamiento Socioeconómico y Ambiental, en el cual se observa que se trata de una familia ubicada por debajo de la línea de la indigencia ya que con sus ingresos no logran cubrir la canasta básica alimentaria;</w:t>
      </w:r>
    </w:p>
    <w:p>
      <w:pPr>
        <w:ind w:left="284"/>
        <w:jc w:val="both"/>
        <w:rPr>
          <w:rStyle w:val="C3"/>
          <w:rFonts w:ascii="Courier New" w:hAnsi="Courier New"/>
        </w:rPr>
      </w:pPr>
    </w:p>
    <w:p>
      <w:pPr>
        <w:ind w:left="28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Resolución Nº 334/09 Dirección de Ingresos Públicos eximió a la solicitante del SESENTA POR CIENTO (60%) del pago de la Tasa por Servicios a la propiedad desde Enero de 2009 a Diciembre de 2011;</w:t>
      </w:r>
    </w:p>
    <w:p>
      <w:pPr>
        <w:ind w:left="284"/>
        <w:jc w:val="both"/>
        <w:rPr>
          <w:rStyle w:val="C3"/>
          <w:rFonts w:ascii="Courier New" w:hAnsi="Courier New"/>
        </w:rPr>
      </w:pPr>
    </w:p>
    <w:p>
      <w:pPr>
        <w:ind w:left="28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27 de Julio de 2011;</w:t>
      </w:r>
    </w:p>
    <w:p>
      <w:pPr>
        <w:pStyle w:val="P11"/>
        <w:ind w:left="284"/>
        <w:rPr>
          <w:rStyle w:val="C3"/>
          <w:b w:val="1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Art.1</w:t>
      </w:r>
      <w:r>
        <w:rPr>
          <w:rStyle w:val="C3"/>
          <w:rFonts w:ascii="Courier New" w:hAnsi="Courier New"/>
          <w:sz w:val="24"/>
        </w:rPr>
        <w:t>: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EXIMIR </w:t>
      </w:r>
      <w:r>
        <w:rPr>
          <w:rStyle w:val="C3"/>
          <w:rFonts w:ascii="Courier New" w:hAnsi="Courier New"/>
          <w:b w:val="0"/>
          <w:sz w:val="24"/>
        </w:rPr>
        <w:t>el</w:t>
      </w:r>
      <w:r>
        <w:rPr>
          <w:rStyle w:val="C3"/>
          <w:rFonts w:ascii="Courier New" w:hAnsi="Courier New"/>
          <w:b w:val="0"/>
          <w:sz w:val="24"/>
        </w:rPr>
        <w:t xml:space="preserve"> CIEN POR CIENTO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b w:val="0"/>
          <w:sz w:val="24"/>
        </w:rPr>
        <w:t>(</w:t>
      </w:r>
      <w:r>
        <w:rPr>
          <w:rStyle w:val="C3"/>
          <w:rFonts w:ascii="Courier New" w:hAnsi="Courier New"/>
          <w:b w:val="0"/>
          <w:sz w:val="24"/>
        </w:rPr>
        <w:t>100%</w:t>
      </w:r>
      <w:r>
        <w:rPr>
          <w:rStyle w:val="C3"/>
          <w:rFonts w:ascii="Courier New" w:hAnsi="Courier New"/>
          <w:b w:val="0"/>
          <w:sz w:val="24"/>
        </w:rPr>
        <w:t>)</w:t>
      </w:r>
      <w:r>
        <w:rPr>
          <w:rStyle w:val="C3"/>
          <w:rFonts w:ascii="Courier New" w:hAnsi="Courier New"/>
          <w:b w:val="0"/>
          <w:sz w:val="24"/>
        </w:rPr>
        <w:t xml:space="preserve"> de la deuda que en concepto de Tasa por Servicios a la Propiedad mantiene con la Municipalidad de Alta Gracia hasta la promulgación de la presente el inmueble 01-01-281-009 Cta.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b w:val="0"/>
          <w:sz w:val="24"/>
        </w:rPr>
        <w:t>00025882</w:t>
      </w:r>
      <w:r>
        <w:rPr>
          <w:rStyle w:val="C3"/>
          <w:rFonts w:ascii="Courier New" w:hAnsi="Courier New"/>
          <w:b w:val="0"/>
          <w:sz w:val="24"/>
        </w:rPr>
        <w:t>.-</w:t>
      </w:r>
    </w:p>
    <w:p>
      <w:pPr>
        <w:pStyle w:val="P16"/>
        <w:ind w:hanging="426" w:left="426"/>
        <w:jc w:val="right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...///</w:t>
      </w:r>
    </w:p>
    <w:p>
      <w:pPr>
        <w:pStyle w:val="P16"/>
        <w:ind w:hanging="426" w:left="426"/>
        <w:jc w:val="right"/>
        <w:rPr>
          <w:rStyle w:val="C3"/>
          <w:rFonts w:ascii="Courier New" w:hAnsi="Courier New"/>
          <w:b w:val="1"/>
          <w:sz w:val="24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EXIMIR </w:t>
      </w:r>
      <w:r>
        <w:rPr>
          <w:rStyle w:val="C3"/>
          <w:rFonts w:ascii="Courier New" w:hAnsi="Courier New"/>
        </w:rPr>
        <w:t>el CIEN POR CIENTO (100%) de la deuda que en concepto de Tasa por Servicios de Administración y Mantenimiento de los Cementerios mantiene con la Municipalidad de Alta Gracia hasta la promulgación de la presente la identificación 007584.-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ind w:hanging="29" w:left="142"/>
        <w:jc w:val="both"/>
        <w:rPr>
          <w:rStyle w:val="C3"/>
          <w:rFonts w:ascii="Courier New" w:hAnsi="Courier New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VEINTISIETE DÍAS DEL MES DE JULIO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4EF8532F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6E3273B8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5EFACE86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5BD14A78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00733BD1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75129D02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728DE834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04A17C8B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2374CE2B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09E3159A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5EBD483C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05E8058B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22EEA408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31477CC4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2B804441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1212A14A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626C2360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5E5111A5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6ED6C870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DCD13B2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1909D10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41ED169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B9A9DC0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E5C5A6C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DE1884D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23693DB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10CE6EC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6A384322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14AA6966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D72491A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F2D5165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A137B6B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E4EC462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3784FDB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126D929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4D9974D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04B993BB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4022B8ED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1B4EAE6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6D09D15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3A068C5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03A67F4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C261A6E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06DF143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6029BAA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06D3BD72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3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6"/>
  </w:num>
  <w:num w:numId="5">
    <w:abstractNumId w:val="30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5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2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3"/>
  </w:num>
  <w:num w:numId="24">
    <w:abstractNumId w:val="27"/>
  </w:num>
  <w:num w:numId="25">
    <w:abstractNumId w:val="14"/>
  </w:num>
  <w:num w:numId="26">
    <w:abstractNumId w:val="34"/>
  </w:num>
  <w:num w:numId="27">
    <w:abstractNumId w:val="4"/>
  </w:num>
  <w:num w:numId="28">
    <w:abstractNumId w:val="25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  <w:num w:numId="36">
    <w:abstractNumId w:val="3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2011-08-01T11:49:00Z</dcterms:created>
  <cp:lastModifiedBy>Ethan Puglia</cp:lastModifiedBy>
  <cp:lastPrinted>2011-08-04T13:43:00Z</cp:lastPrinted>
  <dcterms:modified xsi:type="dcterms:W3CDTF">2019-03-28T17:34:35Z</dcterms:modified>
  <cp:revision>6</cp:revision>
  <dc:title>PROYECTO DE ORDENANZA VIOLENCIA FAMILIAR</dc:title>
</cp:coreProperties>
</file>