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D151AD7" Type="http://schemas.openxmlformats.org/officeDocument/2006/relationships/officeDocument" Target="/word/document.xml" /><Relationship Id="coreR4D151AD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9047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1981/02;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la Sra. Vilma Correa de Domínguez, DNI 13.384.736 solicita eximición de la deuda que en concepto de Tasa por Servicios a la Propiedad mantiene con la Municipalidad de Alta Gracia el inmueble Designación Catastral 01-01-379-019 Cta.00028420;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los Relevamientos Socioeconómicos y Ambientales realizados (Fs.16 y 20), se trata de un grupo familiar en riesgo de caer por debajo de la línea de la pobreza, habitan en una vivienda social;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con anterioridad y mediante Resolución Nº 128/03 la Dirección de Ingresos Públicos exime en un CIEN POR CIENTO (100%) a la solicitante del pago en concepto de Tasa por Servicios a la Propiedad, correspondiente al año 1999, como así también se le brinda beneficios especiales en el mismo concepto correspondiente a los años 2002 y 2003;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Fs.23 y 25 se adjunta Estado de deuda en la cual se observa que parte de la misma se encuentra en gestión judicial;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agrega cédula de notificación Nº 1-20263 suscripto por la Dra. Daniela Pérez Accardo, Procuradora Municipal mediante la cual se solicita Demanda Ejecutiva;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right"/>
        <w:rPr>
          <w:rStyle w:val="C3"/>
          <w:rFonts w:ascii="Courier New" w:hAnsi="Courier New"/>
        </w:rPr>
      </w:pPr>
    </w:p>
    <w:p>
      <w:pPr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debe velar para que los ciudadanos que atraviesen dificultades económicas cumplan con sus obligaciones contributivas;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esta manera, usted se sentirá seguro de que ninguna deuda por tal motivo pondrá en riesgo la propiedad de la vivienda familiar;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necesario, oportuno y conveniente contribuir a mejorar la calidad de vida de las familias y así, finalmente como fruto del esfuerzo pueda construir un futuro más alentador;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03 de Agosto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54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54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54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que en concepto de Tasa por Servicios a la Propiedad mantiene hasta la promulgación de la presente con la Municipalidad de alta gracia el inmueble Designación Catastral 01-01-379-019 Cta.00028420.-</w:t>
      </w:r>
    </w:p>
    <w:p>
      <w:pPr>
        <w:ind w:hanging="454" w:left="567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54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ab/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del pago correspondiente a Tasa por Servicios a la Propiedad que recae en el inmueble Designación Catastral 01-01-379-019 Cta.00028420 desde la promulgación de la presente y por el término de DOS (2) años, momento en el cual se deberá realizar un nuevo relevamiento socioeconómico y ambiental y de permanecer la situación actual prorrogar el beneficio por iguales y consecutivos períodos.-</w:t>
      </w:r>
    </w:p>
    <w:p>
      <w:pPr>
        <w:tabs>
          <w:tab w:val="left" w:pos="567" w:leader="none"/>
        </w:tabs>
        <w:ind w:hanging="567"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1134" w:leader="none"/>
        </w:tabs>
        <w:ind w:hanging="454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ab/>
        <w:t xml:space="preserve">SOLICITAR </w:t>
      </w:r>
      <w:r>
        <w:rPr>
          <w:rStyle w:val="C3"/>
          <w:rFonts w:ascii="Courier New" w:hAnsi="Courier New"/>
        </w:rPr>
        <w:t>al Sr. Intendente, interceda ante el o los procuradores actuantes a fin de dejar sin efecto el o los juicios iniciados, como así también los honorarios generados.-</w:t>
      </w: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AGOSTO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DF42167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B88BC65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764FBA3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A1A65B3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22763A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4027E8D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990B880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CACF1B2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ECDB8B4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00B6D48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D54168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E4C710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F1D3DF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C406B2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C9525E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7A1716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D40550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615E3C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1AD7914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261BB0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C8B734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2AF58D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D1BFB1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9EF1C0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7715FC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6B03B0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7F3908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0B99EE3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C4998D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3D957D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ED1FFF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8E8A4E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035BAB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0576A9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61D208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DF2822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5EF22D4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41DE6F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48CBF8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C45226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F2F595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9E9268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B538FE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2C0834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27C4E1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2570D90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4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7"/>
  </w:num>
  <w:num w:numId="5">
    <w:abstractNumId w:val="31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6"/>
  </w:num>
  <w:num w:numId="14">
    <w:abstractNumId w:val="30"/>
  </w:num>
  <w:num w:numId="15">
    <w:abstractNumId w:val="29"/>
  </w:num>
  <w:num w:numId="16">
    <w:abstractNumId w:val="18"/>
  </w:num>
  <w:num w:numId="17">
    <w:abstractNumId w:val="19"/>
  </w:num>
  <w:num w:numId="18">
    <w:abstractNumId w:val="33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4"/>
  </w:num>
  <w:num w:numId="24">
    <w:abstractNumId w:val="28"/>
  </w:num>
  <w:num w:numId="25">
    <w:abstractNumId w:val="14"/>
  </w:num>
  <w:num w:numId="26">
    <w:abstractNumId w:val="35"/>
  </w:num>
  <w:num w:numId="27">
    <w:abstractNumId w:val="4"/>
  </w:num>
  <w:num w:numId="28">
    <w:abstractNumId w:val="26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2"/>
  </w:num>
  <w:num w:numId="37">
    <w:abstractNumId w:val="2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2011-08-09T12:02:00Z</dcterms:created>
  <cp:lastModifiedBy>Ethan Puglia</cp:lastModifiedBy>
  <cp:lastPrinted>2011-08-16T12:18:00Z</cp:lastPrinted>
  <dcterms:modified xsi:type="dcterms:W3CDTF">2019-03-28T17:34:36Z</dcterms:modified>
  <cp:revision>9</cp:revision>
  <dc:title>PROYECTO DE ORDENANZA VIOLENCIA FAMILIAR</dc:title>
</cp:coreProperties>
</file>