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15A2A8E" Type="http://schemas.openxmlformats.org/officeDocument/2006/relationships/officeDocument" Target="/word/document.xml" /><Relationship Id="coreR515A2A8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9079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868/11;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Laura Charra DNI 31.547.663 solicita eximición de la deuda que en concepto de Tasa por Servicios a la Propiedad mantiene con la Municipalidad de Alta Gracia el inmueble Designación Catastral 03-01-004-002 Cta.00012925;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Fs.10/14 obra estado de cuenta en el cual se observa que parte de la misma se encuentra en gestión judicial según certificados 2354 y 15306 de fecha 20/12/05 y 19/11/08 respectivamente;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Fs.15 Sección Catastro informa que el inmueble de referencia es el único inmueble registrado a nombre de la solicitante;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Fs.16/17 se adjuntan boletos de compraventa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desprende que la solicitante tiene dos hijos a cargo, habitando una vivienda precaria con materiales de baja calidad;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Sección Catastro informa que el grupo familiar de la solicitante no se registra como titular de ningún inmueble;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Relevamiento Socioeconómico y ambiental realizado se trata de una familia ubicada por debajo de la línea de la pobreza;  </w:t>
      </w:r>
    </w:p>
    <w:p>
      <w:pPr>
        <w:pStyle w:val="P11"/>
        <w:ind w:left="426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velar para que los ciudadanos que atraviesen dificultades económicas cumplan con sus obligaciones contributivas;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426"/>
        <w:rPr>
          <w:rStyle w:val="C3"/>
          <w:b w:val="1"/>
        </w:rPr>
      </w:pPr>
      <w:r>
        <w:t>Que analizado el Expediente de referencia por la Comisión de Hacienda, la misma emite despacho favorable, aprobado por unanimidad en Sesión Ordinaria del día 07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8"/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 el inmueble Designación Catastral 03-01-004-002 Cta.00012925.-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correspondiente al inmueble Designación Catastral 03-01-004-002 Cta.00012925 desde la promulgación de la presente y por el término de DOS (2) años momento en el cual se deberá realizar un nuevo Relevamiento Socioeconómico y Ambiental y de mantenerse la situación ambiental extender el beneficio por iguales y consecutivos períodos.-</w:t>
      </w:r>
    </w:p>
    <w:p>
      <w:pPr>
        <w:ind w:hanging="284" w:left="284"/>
        <w:jc w:val="both"/>
        <w:rPr>
          <w:rStyle w:val="C3"/>
          <w:rFonts w:ascii="Courier New" w:hAnsi="Courier New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iniciados, como así también los honorarios generados</w:t>
      </w:r>
      <w:r>
        <w:rPr>
          <w:rStyle w:val="C3"/>
          <w:rFonts w:ascii="Courier New" w:hAnsi="Courier New"/>
          <w:b w:val="1"/>
        </w:rPr>
        <w:t>.</w:t>
      </w:r>
      <w:r>
        <w:rPr>
          <w:rStyle w:val="C3"/>
          <w:rFonts w:ascii="Courier New" w:hAnsi="Courier New"/>
          <w:b w:val="1"/>
        </w:rPr>
        <w:t>-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SIETE</w:t>
      </w:r>
      <w:r>
        <w:rPr>
          <w:rStyle w:val="C3"/>
          <w:rFonts w:ascii="Courier New" w:hAnsi="Courier New"/>
          <w:b w:val="1"/>
        </w:rPr>
        <w:t xml:space="preserve"> DIAS</w:t>
      </w:r>
      <w:r>
        <w:rPr>
          <w:rStyle w:val="C3"/>
          <w:rFonts w:ascii="Courier New" w:hAnsi="Courier New"/>
          <w:b w:val="1"/>
        </w:rPr>
        <w:t xml:space="preserve"> 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465A0D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91E148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09DA14C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C1F264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32F93A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A45E8C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7A9AEC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65B153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A37EB4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69CE51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0618BC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ECAA94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C6FDC0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BF3458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37154D8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046D0F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285CE4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897782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1756729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C9169F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6CDC01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77C94F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5D64A3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96D34C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80798C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7A8E5C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648CA8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6A77F81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743859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534AEF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571D837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D5BC99D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1246B2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2A06E8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49ADEC5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E588F27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6E8BF38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46A7F5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68E61C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BE2932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7BA1D5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7DF4E27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360217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3C541E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D9444C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6D5F467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C4C9CB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93AE9E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0C92CC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0318F7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2BA100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A16137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C93BCD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79B93E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6624969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CE90BD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347CB4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7306D7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4178E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B86ADE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FD1F3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D31B6A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F178F9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15033D5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12B0DE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305C32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DA63E1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9CF6E7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2455A2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518C6B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1BADD6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E1B4EE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0209176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B73DF6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4D74CA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EE72F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1C747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211084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BD8F00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AA8524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B5C490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4D0DE0A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2011-09-08T12:48:00Z</dcterms:created>
  <cp:lastModifiedBy>Ethan Puglia</cp:lastModifiedBy>
  <cp:lastPrinted>2011-09-26T16:05:00Z</cp:lastPrinted>
  <dcterms:modified xsi:type="dcterms:W3CDTF">2019-03-28T17:34:37Z</dcterms:modified>
  <cp:revision>7</cp:revision>
  <dc:title>PROYECTO DE ORDENANZA VIOLENCIA FAMILIAR</dc:title>
</cp:coreProperties>
</file>