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CD8F16" Type="http://schemas.openxmlformats.org/officeDocument/2006/relationships/officeDocument" Target="/word/document.xml" /><Relationship Id="coreR3BCD8F1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9123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374/I/10;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través del citado instrumento administrativo, Asesoría Letrada remite documentación referida a inmuebles donde funcionaba el Club Deportivo y Cultural Chanta 4 Personería Jurídica Resolución N° 076 “A” - 17 de Junio de 1983, con domicilio social en calle 4 N° 63 de B° Parque San Juan de la Ciudad de Alta Gracia, a los fines del inicio del correspondiente Expediente administrativo;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su análisis, se permite inferir que los socios fundadores, reunidos en asamblea el 01 de Diciembre de 1981, dispusieron su formalización y primigeniamente, volcaron todos sus esfuerzos en particular, en el fomento y práctica del juego de “Bochas “ y “Baby Futbol”;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Fs.12/19 la Dirección de Ingresos Públicos, agrega estado de deuda de las cuentas Nº 5814 y 18655 a nombre de Agustín Cipolleta y Agustín Tascon, encontrándose ambas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Fs.21/23 y 24/26 obran copias de las correspondientes escrituras traslativas de dominio a favor de los citados titulares registrales remitido por el Archivo Notarial dependiente del Registro Notarial de la Provincia;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Fs.28 obra nota de la Comisión Directiva de la institución de mención con domicilio en calle 4 Nº 65 de Barrio Parque San Juan solicitando la factibilidad de saneamiento de títulos;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Municipalidad de Alta Gracia ejecute la acreencia fiscal de ambos inmuebles, los remate y adquiere en subasta para luego ser transferidos a favor de los peticionantes;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Fs.29 la Asesoría Letrada pone en conocimiento que el Club Chanta 4 solicita intervención del Estado Municipal a los fines que se ejecuten los lotes 11 y12 de la Mz.40 de Barrio Parque San Juan;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tales lotes fueron adquiridos en su oportunidad con la finalidad de ser destinados a dicha entidad por los fundadores en 1963 habiendo fallecido estos y siendo los titulares registrales;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si mismo manifiestan que los juicios ejecutivos se encuentran en ejecución por lo que es factible instar subasta en ambos;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entiende esa Asesoría Letrada que a los fines de asumir tal compromiso, eximir en los hechos los montos reclamados por Tasas Municipales por Servicios a la Propiedad y luego donarlos, corresponde a la intervención del Honorable Concejo Deliberante;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Fs.31 a Fs.94 se anexa documentación aportada por las autoridades de la institución y que en extracto se citan en los considerandos de la presente;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(Fs.31) mediante el dictado del decisorio administrativo Nº 1036/06, el Departamento Ejecutivo declaro de Interés Social, Cultural y Deportivo  Municipal al “ Club Deportivo y Cultural Chanta Cuatro”,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oportunamente, en Sesión Ordinaria de fecha 13 de Julio de 2011, el Honorable Concejo Deliberante consideró conveniente la no instancia de subasta;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marco de sus políticas sociales, deportivas y culturales el Estado Municipal promueve, impulsa y fomenta la recuperación de los espacios afines a las necesidades barriales, en particular como el que nos ocupa;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Propiedad, mantienen con la Municipalidad de Alta Gracia los inmuebles  Designación Catastral 03-01-326-11 y 03-01-326-10,  Cta. Nº 00018655 y Cta. Nº 00005814 hasta la total regularización dominial de los mismos a nombre de la institución solicitante.-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OLICITAR</w:t>
      </w:r>
      <w:r>
        <w:rPr>
          <w:rStyle w:val="C3"/>
          <w:sz w:val="24"/>
        </w:rPr>
        <w:t xml:space="preserve"> al Sr. Intendente Municipal que interceda ante el o los procuradores actuantes a los fines de dejar sin efecto las instancias de subasta de los  juicios ejecutivos iniciados.-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presen</w:t>
      </w:r>
      <w:r>
        <w:rPr>
          <w:rStyle w:val="C3"/>
          <w:rFonts w:ascii="Courier New" w:hAnsi="Courier New"/>
          <w:b w:val="0"/>
          <w:sz w:val="24"/>
        </w:rPr>
        <w:t>t</w:t>
      </w:r>
      <w:r>
        <w:rPr>
          <w:rStyle w:val="C3"/>
          <w:rFonts w:ascii="Courier New" w:hAnsi="Courier New"/>
          <w:b w:val="0"/>
          <w:sz w:val="24"/>
        </w:rPr>
        <w:t>e</w:t>
      </w:r>
      <w:r>
        <w:rPr>
          <w:rStyle w:val="C3"/>
          <w:rFonts w:ascii="Courier New" w:hAnsi="Courier New"/>
          <w:b w:val="0"/>
          <w:sz w:val="24"/>
        </w:rPr>
        <w:t xml:space="preserve"> Ordenanza entrará en vigencia a partir de la fecha de su promulgación en un todo de acuerdo al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rt.24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de nuestra C</w:t>
      </w:r>
      <w:r>
        <w:rPr>
          <w:rStyle w:val="C3"/>
          <w:rFonts w:ascii="Courier New" w:hAnsi="Courier New"/>
          <w:b w:val="0"/>
          <w:sz w:val="24"/>
        </w:rPr>
        <w:t xml:space="preserve">arta </w:t>
      </w:r>
      <w:r>
        <w:rPr>
          <w:rStyle w:val="C3"/>
          <w:rFonts w:ascii="Courier New" w:hAnsi="Courier New"/>
          <w:b w:val="0"/>
          <w:sz w:val="24"/>
        </w:rPr>
        <w:t>O</w:t>
      </w:r>
      <w:r>
        <w:rPr>
          <w:rStyle w:val="C3"/>
          <w:rFonts w:ascii="Courier New" w:hAnsi="Courier New"/>
          <w:b w:val="0"/>
          <w:sz w:val="24"/>
        </w:rPr>
        <w:t xml:space="preserve">rgánica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unicipal.-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  <w:r>
        <w:rPr>
          <w:rStyle w:val="C3"/>
          <w:sz w:val="24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DD0469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186BD1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BF2B09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58FFFC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CEAE1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82012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89DDEA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0704D8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843919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8A39F7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DD45DA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D92F3A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FF5C34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627435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22612A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0BD94B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F85751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251425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59FC35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15BE9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6A576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D38915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B4B6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3301C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1A21D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92B12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D2CB5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885C0F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ECD36B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0427AE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376459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01741F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F87B2B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33B613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D1DFA6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825E33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2BC0D7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38B29A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2EC58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9504FF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57FB0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1EF445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6C67A7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2F94C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41C0FF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DE91A1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C256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71FE0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DAD3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5BDC7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A70A9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DE997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FE9006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AB09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F652DA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097B6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D206E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BFAE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75DD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3BFDF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AF36C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181DA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A317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780116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52D59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DBD1BB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0B40E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BA620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0949E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A00306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E01873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BFA4B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0227CD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ABE6B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BDC48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7B130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67216E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8522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16F2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3108B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D05A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F60CE5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2AAEE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7715B3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E9B705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E97AD1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02E418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4DCAA5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3D633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C86453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553DC4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6FC5EA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0154BB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FF2C78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2A1192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D3FDD5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04C2D9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C563B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B023BE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665EF43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2011-10-13T14:12:00Z</dcterms:created>
  <cp:lastModifiedBy>Ethan Puglia</cp:lastModifiedBy>
  <cp:lastPrinted>2011-10-28T13:28:00Z</cp:lastPrinted>
  <dcterms:modified xsi:type="dcterms:W3CDTF">2019-03-28T17:34:39Z</dcterms:modified>
  <cp:revision>8</cp:revision>
  <dc:title>PROYECTO DE ORDENANZA VIOLENCIA FAMILIAR</dc:title>
</cp:coreProperties>
</file>