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B2E52A" Type="http://schemas.openxmlformats.org/officeDocument/2006/relationships/officeDocument" Target="/word/document.xml" /><Relationship Id="coreR63B2E5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5506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grave situación que afecta a toda la comunidad;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ante la situación económica, financiera y social imperante en todo el país, los estados municipales y la sociedad en general se encuentra atravesando un momento de crisis: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Gobierno Nacional ha sancionado la Ley Nº 25561 Declarando la Emergencia Pública;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dentro de las competencias de los gobiernos municipales, se ve la necesidad de tomar medidas a nivel local.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DECLARASE </w:t>
      </w:r>
      <w:r>
        <w:rPr>
          <w:rStyle w:val="C3"/>
          <w:rFonts w:ascii="Courier New" w:hAnsi="Courier New"/>
          <w:sz w:val="24"/>
        </w:rPr>
        <w:t>la Emergencia Pública en materia económica, financiera, administrativa y social en la ciudad de Alta Gracia, en el marco de la Ley Nacional Nº 25561.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FEBRERO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2002-02-06T13:02:00Z</dcterms:created>
  <cp:lastModifiedBy>Ethan Puglia</cp:lastModifiedBy>
  <cp:lastPrinted>2002-02-06T13:15:00Z</cp:lastPrinted>
  <dcterms:modified xsi:type="dcterms:W3CDTF">2019-03-28T17:33:36Z</dcterms:modified>
  <cp:revision>5</cp:revision>
  <dc:title>ORDENANZA  Nº  5354</dc:title>
</cp:coreProperties>
</file>