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2FC2C2" Type="http://schemas.openxmlformats.org/officeDocument/2006/relationships/officeDocument" Target="/word/document.xml" /><Relationship Id="coreR702FC2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5484 que otorga una bonificación del diez por ciento (10%) del monto total a abonar en concepto de Tasa por Servicios a la Propiedad a los contribuyentes que opten por el pago de contado de todo el año hasta el 31 de marzo de cada año;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momento de sanción de la Ordenanza se encontraban emitidas las primeras cuotas del año 2002 y repartidas, por lo que el Departamento Ejecutivo solicita se prorrogue el plazo establecido en la Ordenanza mencionada.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PRORROGASE</w:t>
      </w:r>
      <w:r>
        <w:rPr>
          <w:rStyle w:val="C3"/>
          <w:rFonts w:ascii="Courier New" w:hAnsi="Courier New"/>
        </w:rPr>
        <w:t xml:space="preserve"> el plazo establecido en el Art. 1 de la Ordenanza Nº 5484 hasta el 31 de mayo para el corriente año.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5654A111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2002-03-08T13:01:00Z</dcterms:created>
  <cp:lastModifiedBy>Ethan Puglia</cp:lastModifiedBy>
  <cp:lastPrinted>2002-03-08T15:22:00Z</cp:lastPrinted>
  <dcterms:modified xsi:type="dcterms:W3CDTF">2019-03-28T17:33:36Z</dcterms:modified>
  <cp:revision>7</cp:revision>
  <dc:title>ORDENANZA  Nº  5354</dc:title>
</cp:coreProperties>
</file>