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1C93E76" Type="http://schemas.openxmlformats.org/officeDocument/2006/relationships/officeDocument" Target="/word/document.xml" /><Relationship Id="coreR41C93E7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5"/>
        <w:rPr>
          <w:rStyle w:val="C3"/>
          <w:rFonts w:ascii="Courier New" w:hAnsi="Courier New"/>
        </w:rPr>
      </w:pPr>
      <w:r>
        <w:rPr>
          <w:rStyle w:val="C3"/>
          <w:rFonts w:ascii="Courier New" w:hAnsi="Courier New"/>
        </w:rPr>
        <w:t>ORDENANZA Nº 5517</w:t>
      </w:r>
    </w:p>
    <w:p>
      <w:pPr>
        <w:jc w:val="center"/>
        <w:rPr>
          <w:rStyle w:val="C3"/>
          <w:rFonts w:ascii="Courier New" w:hAnsi="Courier New"/>
          <w:sz w:val="24"/>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Visto: La Ordenanza General Impositiva Nº 3873; y</w:t>
      </w:r>
    </w:p>
    <w:p>
      <w:pPr>
        <w:ind w:hanging="709" w:left="709"/>
        <w:jc w:val="both"/>
        <w:rPr>
          <w:rStyle w:val="C3"/>
          <w:rFonts w:ascii="Courier New" w:hAnsi="Courier New"/>
          <w:sz w:val="24"/>
        </w:rPr>
      </w:pPr>
    </w:p>
    <w:p>
      <w:pPr>
        <w:pStyle w:val="P1"/>
        <w:ind w:left="0"/>
        <w:rPr>
          <w:rStyle w:val="C3"/>
          <w:rFonts w:ascii="Courier New" w:hAnsi="Courier New"/>
        </w:rPr>
      </w:pPr>
    </w:p>
    <w:p>
      <w:pPr>
        <w:pStyle w:val="P1"/>
        <w:ind w:left="0"/>
        <w:rPr>
          <w:rStyle w:val="C3"/>
          <w:rFonts w:ascii="Courier New" w:hAnsi="Courier New"/>
        </w:rPr>
      </w:pPr>
      <w:r>
        <w:rPr>
          <w:rStyle w:val="C3"/>
          <w:rFonts w:ascii="Courier New" w:hAnsi="Courier New"/>
        </w:rPr>
        <w:t>C O N S I D E R A N D O</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el Departamento Ejecutivo cree conveniente realizar algunas modificaciones en la Ordenanza Nº 3873;</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el Art. 24 detalla los deberes formales de los contribuyentes y de terceros y más especialmente el inc. 2 del mencionado Art., establece que es obligación de los contribuyentes responsables y terceros, inscribirse ante la Dirección de Ingresos Públicos, dentro del término de sesenta (60) días corridos del inicio de actividades comerciales, industriales y de servicios;</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razones de carácter funcionales hacen necesario modificar esta normativa a fin de facilitar las actividades de fiscalización y establecer mayor orden;</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a la vez, el Art. 78, inc. 4, prevé una exención subjetiva respecto de la Tasa por Servicios a la Propiedad para aquellas unidades habitacionales de 3º, 4º o 5º categoría de construcción, cuyo titular sea jubilado o pensionado con ingresos que no superen en más del cien por cien (100%), el haber jubilatorio o pensión mínima que abone la Caja de Jubilaciones, Pensiones y Retiros de Córdoba, correspondientes al mes de enero de cada año de presentación de la solicitud;</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en el contexto de receso general del país y la situación económica y social que esto trae aparejado, se ha producido un fuerte descenso en el nivel de ingreso de los trabajadores activos de todos los sectores, estableciéndose registros muy por debajo del tope previsto en el inc. 4 del Art. 78 de la Ordenanza Nº 3873;</w:t>
      </w:r>
    </w:p>
    <w:p>
      <w:pPr>
        <w:pStyle w:val="P7"/>
        <w:rPr>
          <w:rStyle w:val="C3"/>
          <w:rFonts w:ascii="Courier New" w:hAnsi="Courier New"/>
        </w:rPr>
      </w:pPr>
    </w:p>
    <w:p>
      <w:pPr>
        <w:pStyle w:val="P7"/>
        <w:jc w:val="right"/>
        <w:rPr>
          <w:rStyle w:val="C3"/>
          <w:rFonts w:ascii="Courier New" w:hAnsi="Courier New"/>
        </w:rPr>
      </w:pPr>
      <w:r>
        <w:rPr>
          <w:rStyle w:val="C3"/>
          <w:rFonts w:ascii="Courier New" w:hAnsi="Courier New"/>
        </w:rPr>
        <w:t>...///</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...///2.-</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 xml:space="preserve">Que razones de equidad tributaria hacen necesario revisar el tope de percepción previsional prevista en el inc. 4 del Art. 78. </w:t>
      </w:r>
    </w:p>
    <w:p>
      <w:pPr>
        <w:pStyle w:val="P1"/>
        <w:ind w:left="0"/>
        <w:rPr>
          <w:rStyle w:val="C3"/>
          <w:rFonts w:ascii="Courier New" w:hAnsi="Courier New"/>
        </w:rPr>
      </w:pPr>
    </w:p>
    <w:p>
      <w:pPr>
        <w:pStyle w:val="P1"/>
        <w:ind w:left="0"/>
        <w:rPr>
          <w:rStyle w:val="C3"/>
          <w:rFonts w:ascii="Courier New" w:hAnsi="Courier New"/>
        </w:rPr>
      </w:pPr>
      <w:r>
        <w:rPr>
          <w:rStyle w:val="C3"/>
          <w:rFonts w:ascii="Courier New" w:hAnsi="Courier New"/>
        </w:rPr>
        <w:t>EL HONORABLE CONCEJO DELIBERANTE DE LA CIUDAD DE</w:t>
      </w:r>
    </w:p>
    <w:p>
      <w:pPr>
        <w:pStyle w:val="P1"/>
        <w:ind w:hanging="709"/>
        <w:rPr>
          <w:rStyle w:val="C3"/>
          <w:rFonts w:ascii="Courier New" w:hAnsi="Courier New"/>
        </w:rPr>
      </w:pPr>
    </w:p>
    <w:p>
      <w:pPr>
        <w:pStyle w:val="P1"/>
        <w:ind w:hanging="709"/>
        <w:rPr>
          <w:rStyle w:val="C3"/>
          <w:rFonts w:ascii="Courier New" w:hAnsi="Courier New"/>
        </w:rPr>
      </w:pPr>
    </w:p>
    <w:p>
      <w:pPr>
        <w:pStyle w:val="P1"/>
        <w:ind w:hanging="709"/>
        <w:rPr>
          <w:rStyle w:val="C3"/>
          <w:rFonts w:ascii="Courier New" w:hAnsi="Courier New"/>
        </w:rPr>
      </w:pPr>
      <w:r>
        <w:rPr>
          <w:rStyle w:val="C3"/>
          <w:rFonts w:ascii="Courier New" w:hAnsi="Courier New"/>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pStyle w:val="P6"/>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M</w:t>
      </w:r>
      <w:r>
        <w:rPr>
          <w:rStyle w:val="C3"/>
          <w:rFonts w:ascii="Courier New" w:hAnsi="Courier New"/>
          <w:b w:val="1"/>
        </w:rPr>
        <w:t>O</w:t>
      </w:r>
      <w:r>
        <w:rPr>
          <w:rStyle w:val="C3"/>
          <w:rFonts w:ascii="Courier New" w:hAnsi="Courier New"/>
          <w:b w:val="1"/>
        </w:rPr>
        <w:t>D</w:t>
      </w:r>
      <w:r>
        <w:rPr>
          <w:rStyle w:val="C3"/>
          <w:rFonts w:ascii="Courier New" w:hAnsi="Courier New"/>
          <w:b w:val="1"/>
        </w:rPr>
        <w:t>I</w:t>
      </w:r>
      <w:r>
        <w:rPr>
          <w:rStyle w:val="C3"/>
          <w:rFonts w:ascii="Courier New" w:hAnsi="Courier New"/>
          <w:b w:val="1"/>
        </w:rPr>
        <w:t>F</w:t>
      </w:r>
      <w:r>
        <w:rPr>
          <w:rStyle w:val="C3"/>
          <w:rFonts w:ascii="Courier New" w:hAnsi="Courier New"/>
          <w:b w:val="1"/>
        </w:rPr>
        <w:t>I</w:t>
      </w:r>
      <w:r>
        <w:rPr>
          <w:rStyle w:val="C3"/>
          <w:rFonts w:ascii="Courier New" w:hAnsi="Courier New"/>
          <w:b w:val="1"/>
        </w:rPr>
        <w:t>C</w:t>
      </w:r>
      <w:r>
        <w:rPr>
          <w:rStyle w:val="C3"/>
          <w:rFonts w:ascii="Courier New" w:hAnsi="Courier New"/>
          <w:b w:val="1"/>
        </w:rPr>
        <w:t>A</w:t>
      </w:r>
      <w:r>
        <w:rPr>
          <w:rStyle w:val="C3"/>
          <w:rFonts w:ascii="Courier New" w:hAnsi="Courier New"/>
          <w:b w:val="1"/>
        </w:rPr>
        <w:t>S</w:t>
      </w:r>
      <w:r>
        <w:rPr>
          <w:rStyle w:val="C3"/>
          <w:rFonts w:ascii="Courier New" w:hAnsi="Courier New"/>
          <w:b w:val="1"/>
        </w:rPr>
        <w:t>E</w:t>
      </w:r>
      <w:r>
        <w:rPr>
          <w:rStyle w:val="C3"/>
          <w:rFonts w:ascii="Courier New" w:hAnsi="Courier New"/>
          <w:b w:val="1"/>
        </w:rPr>
        <w:t xml:space="preserve"> </w:t>
      </w:r>
      <w:r>
        <w:rPr>
          <w:rStyle w:val="C3"/>
          <w:rFonts w:ascii="Courier New" w:hAnsi="Courier New"/>
        </w:rPr>
        <w:t>el inc. 2 del Art. 24 de la Ordenanza Nº 3873, el que quedará redactado de la siguiente forma: “2) Inscribirse ante la Dirección de Ingresos Públicos, dentro del término de diez (10) días previos al inicio de actividades comerciales, industriales y de servicio”.</w:t>
      </w:r>
    </w:p>
    <w:p>
      <w:pPr>
        <w:pStyle w:val="P6"/>
        <w:rPr>
          <w:rStyle w:val="C3"/>
          <w:rFonts w:ascii="Courier New" w:hAnsi="Courier New"/>
          <w:b w:val="1"/>
          <w:u w:val="single"/>
        </w:rPr>
      </w:pPr>
    </w:p>
    <w:p>
      <w:pPr>
        <w:pStyle w:val="P6"/>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MODIFICASE</w:t>
      </w:r>
      <w:r>
        <w:rPr>
          <w:rStyle w:val="C3"/>
          <w:rFonts w:ascii="Courier New" w:hAnsi="Courier New"/>
        </w:rPr>
        <w:t xml:space="preserve"> el inc. 4 del Art. 78 de la Ordenanza Nº 3873, el que quedará redactado de la siguiente forma: “4) En un setenta por ciento (70%) la unidad habitacional única de 3º, 4º o 5º categoría de construcción de un jubilado o pensionado cuya percepción previsional no supere el haber jubilatorio o pensión mínima que abone la Caja de Jubilaciones, Pensiones y Retiros de Córdoba, correspondientes al mes de enero del año de presentación de la solicitud. En los casos de propiedad en condominio de un jubilado con hijos, bastará con que aquél cumpla con los requisitos establecidos en el párrafo anterior. </w:t>
      </w:r>
    </w:p>
    <w:p>
      <w:pPr>
        <w:pStyle w:val="P6"/>
        <w:rPr>
          <w:rStyle w:val="C3"/>
          <w:rFonts w:ascii="Courier New" w:hAnsi="Courier New"/>
        </w:rPr>
      </w:pPr>
      <w:r>
        <w:rPr>
          <w:rStyle w:val="C3"/>
          <w:rFonts w:ascii="Courier New" w:hAnsi="Courier New"/>
        </w:rPr>
        <w:t xml:space="preserve">     Para gozar de esta exención, el jubilado no deberá poseer más de un bien inmueble y que el mismo no tenga unidades locativas.</w:t>
      </w:r>
    </w:p>
    <w:p>
      <w:pPr>
        <w:pStyle w:val="P6"/>
        <w:rPr>
          <w:rStyle w:val="C3"/>
          <w:rFonts w:ascii="Courier New" w:hAnsi="Courier New"/>
        </w:rPr>
      </w:pPr>
      <w:r>
        <w:rPr>
          <w:rStyle w:val="C3"/>
          <w:rFonts w:ascii="Courier New" w:hAnsi="Courier New"/>
        </w:rPr>
        <w:t xml:space="preserve">     En caso de comprobarse la percepción por parte del solicitante de otros ingresos, la exención será derogada y dada por nula desde su otorgamiento”.</w:t>
      </w:r>
    </w:p>
    <w:p>
      <w:pPr>
        <w:pStyle w:val="P6"/>
        <w:rPr>
          <w:rStyle w:val="C3"/>
          <w:rFonts w:ascii="Courier New" w:hAnsi="Courier New"/>
          <w:b w:val="1"/>
          <w:u w:val="single"/>
        </w:rPr>
      </w:pP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...///3.-</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8"/>
        <w:rPr>
          <w:rStyle w:val="C3"/>
          <w:rFonts w:ascii="Courier New" w:hAnsi="Courier New"/>
        </w:rPr>
      </w:pPr>
    </w:p>
    <w:p>
      <w:pPr>
        <w:pStyle w:val="P8"/>
        <w:rPr>
          <w:rStyle w:val="C3"/>
          <w:rFonts w:ascii="Courier New" w:hAnsi="Courier New"/>
        </w:rPr>
      </w:pPr>
    </w:p>
    <w:p>
      <w:pPr>
        <w:pStyle w:val="P8"/>
        <w:rPr>
          <w:rStyle w:val="C3"/>
          <w:rFonts w:ascii="Courier New" w:hAnsi="Courier New"/>
        </w:rPr>
      </w:pPr>
    </w:p>
    <w:p>
      <w:pPr>
        <w:pStyle w:val="P8"/>
        <w:rPr>
          <w:rStyle w:val="C3"/>
          <w:rFonts w:ascii="Courier New" w:hAnsi="Courier New"/>
        </w:rPr>
      </w:pPr>
      <w:r>
        <w:rPr>
          <w:rStyle w:val="C3"/>
          <w:rFonts w:ascii="Courier New" w:hAnsi="Courier New"/>
        </w:rPr>
        <w:t>DADA EN LA SALA DE SESIONES DEL HONORABLE CONCEJO DELIBERANTE A SIETE DIAS DEL MES DE MARZO DEL AÑO DOS MIL DOS.</w:t>
      </w:r>
    </w:p>
    <w:sectPr>
      <w:type w:val="nextPage"/>
      <w:pgMar w:left="1701" w:right="1467" w:top="1417" w:bottom="1417" w:header="708" w:footer="708" w:gutter="0"/>
    </w:sectPr>
  </w:body>
</w:document>
</file>

<file path=word/numbering.xml><?xml version="1.0" encoding="utf-8"?>
<w:numbering xmlns:w="http://schemas.openxmlformats.org/wordprocessingml/2006/main">
  <w:abstractNum w:abstractNumId="0">
    <w:nsid w:val="1EE03CE6"/>
    <w:multiLevelType w:val="hybridMultilevel"/>
    <w:lvl w:ilvl="0" w:tplc="4B93DEC1">
      <w:start w:val="0"/>
      <w:numFmt w:val="bullet"/>
      <w:suff w:val="tab"/>
      <w:lvlText w:val="-"/>
      <w:lvlJc w:val="left"/>
      <w:pPr>
        <w:ind w:hanging="360" w:left="1095"/>
        <w:tabs>
          <w:tab w:val="left" w:pos="1095"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Título 2"/>
    <w:basedOn w:val="P0"/>
    <w:next w:val="P0"/>
    <w:pPr>
      <w:keepNext w:val="1"/>
      <w:ind w:left="708"/>
      <w:jc w:val="center"/>
      <w:outlineLvl w:val="1"/>
    </w:pPr>
    <w:rPr>
      <w:rFonts w:ascii="Courier New" w:hAnsi="Courier New"/>
      <w:b w:val="1"/>
      <w:sz w:val="24"/>
    </w:rPr>
  </w:style>
  <w:style w:type="paragraph" w:styleId="P3">
    <w:name w:val="Encabezado"/>
    <w:basedOn w:val="P0"/>
    <w:next w:val="P3"/>
    <w:pPr>
      <w:tabs>
        <w:tab w:val="center" w:pos="4419" w:leader="none"/>
        <w:tab w:val="right" w:pos="8838" w:leader="none"/>
      </w:tabs>
    </w:pPr>
    <w:rPr/>
  </w:style>
  <w:style w:type="paragraph" w:styleId="P4">
    <w:name w:val="Pie de página"/>
    <w:basedOn w:val="P0"/>
    <w:next w:val="P4"/>
    <w:pPr>
      <w:tabs>
        <w:tab w:val="center" w:pos="4419" w:leader="none"/>
        <w:tab w:val="right" w:pos="8838" w:leader="none"/>
      </w:tabs>
    </w:pPr>
    <w:rPr/>
  </w:style>
  <w:style w:type="paragraph" w:styleId="P5">
    <w:name w:val="Título"/>
    <w:basedOn w:val="P0"/>
    <w:next w:val="P5"/>
    <w:pPr>
      <w:jc w:val="center"/>
    </w:pPr>
    <w:rPr>
      <w:b w:val="1"/>
      <w:sz w:val="24"/>
      <w:u w:val="single"/>
    </w:rPr>
  </w:style>
  <w:style w:type="paragraph" w:styleId="P6">
    <w:name w:val="Sangría de t. independiente"/>
    <w:basedOn w:val="P0"/>
    <w:next w:val="P6"/>
    <w:pPr>
      <w:ind w:hanging="709" w:left="709"/>
      <w:jc w:val="both"/>
    </w:pPr>
    <w:rPr>
      <w:sz w:val="24"/>
    </w:rPr>
  </w:style>
  <w:style w:type="paragraph" w:styleId="P7">
    <w:name w:val="Sangría 2 de t. independiente"/>
    <w:basedOn w:val="P0"/>
    <w:next w:val="P7"/>
    <w:pPr>
      <w:ind w:left="709"/>
      <w:jc w:val="both"/>
    </w:pPr>
    <w:rPr>
      <w:sz w:val="24"/>
    </w:rPr>
  </w:style>
  <w:style w:type="paragraph" w:styleId="P8">
    <w:name w:val="Texto independiente"/>
    <w:basedOn w:val="P0"/>
    <w:next w:val="P8"/>
    <w:pPr>
      <w:jc w:val="both"/>
    </w:pPr>
    <w:rPr>
      <w:b w:val="1"/>
      <w:sz w:val="24"/>
    </w:rPr>
  </w:style>
  <w:style w:type="paragraph" w:styleId="P9">
    <w:name w:val="Sangría 3 de t. independiente"/>
    <w:basedOn w:val="P0"/>
    <w:next w:val="P9"/>
    <w:pPr>
      <w:ind w:left="964"/>
      <w:jc w:val="both"/>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2002-03-11T12:33:00Z</dcterms:created>
  <cp:lastModifiedBy>Ethan Puglia</cp:lastModifiedBy>
  <cp:lastPrinted>2002-03-11T12:31:00Z</cp:lastPrinted>
  <dcterms:modified xsi:type="dcterms:W3CDTF">2019-03-28T17:33:36Z</dcterms:modified>
  <cp:revision>14</cp:revision>
  <dc:title>ORDENANZA  Nº  5354</dc:title>
</cp:coreProperties>
</file>