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510A639" Type="http://schemas.openxmlformats.org/officeDocument/2006/relationships/officeDocument" Target="/word/document.xml" /><Relationship Id="coreR4510A63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9"/>
        <w:rPr>
          <w:rStyle w:val="C3"/>
          <w:b w:val="1"/>
          <w:u w:val="single"/>
        </w:rPr>
      </w:pPr>
    </w:p>
    <w:p>
      <w:pPr>
        <w:pStyle w:val="P9"/>
        <w:rPr>
          <w:rStyle w:val="C3"/>
          <w:b w:val="1"/>
          <w:u w:val="single"/>
        </w:rPr>
      </w:pPr>
      <w:r>
        <w:rPr>
          <w:rStyle w:val="C3"/>
          <w:b w:val="1"/>
          <w:u w:val="single"/>
        </w:rPr>
        <w:t>ORDENANZA Nº 7646</w:t>
      </w:r>
    </w:p>
    <w:p>
      <w:pPr>
        <w:jc w:val="both"/>
        <w:rPr>
          <w:rStyle w:val="C3"/>
          <w:rFonts w:ascii="Courier New" w:hAnsi="Courier New"/>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Visto: El Proyecto de Ordenanza elevado por el Departamento Ejecutivo de Presupuesto para el año 2007;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center"/>
        <w:rPr>
          <w:rStyle w:val="C3"/>
          <w:rFonts w:ascii="Courier New" w:hAnsi="Courier New"/>
          <w:b w:val="1"/>
          <w:sz w:val="24"/>
        </w:rPr>
      </w:pPr>
      <w:r>
        <w:rPr>
          <w:rStyle w:val="C3"/>
          <w:rFonts w:ascii="Courier New" w:hAnsi="Courier New"/>
          <w:b w:val="1"/>
          <w:sz w:val="24"/>
        </w:rPr>
        <w:t>C O N S I D E R A N D O</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5"/>
        <w:ind w:left="709"/>
        <w:jc w:val="both"/>
        <w:rPr>
          <w:rStyle w:val="C3"/>
          <w:sz w:val="24"/>
        </w:rPr>
      </w:pPr>
      <w:r>
        <w:rPr>
          <w:rStyle w:val="C3"/>
          <w:sz w:val="24"/>
        </w:rPr>
        <w:t>Que evaluado el Proyecto de Ordenanza mencionado por el Concejo en Comisión, se emite despacho en general aprobado por unanimidad y despacho en particular con modificaciones aprobado por mayoría en Sesión Extraordinaria de fecha 26 de diciembre de 2006.</w:t>
      </w:r>
    </w:p>
    <w:p>
      <w:pPr>
        <w:ind w:hanging="709" w:left="709"/>
        <w:jc w:val="both"/>
        <w:rPr>
          <w:rStyle w:val="C3"/>
          <w:rFonts w:ascii="Courier New" w:hAnsi="Courier New"/>
          <w:sz w:val="24"/>
        </w:rPr>
      </w:pPr>
    </w:p>
    <w:p>
      <w:pPr>
        <w:jc w:val="both"/>
        <w:rPr>
          <w:rStyle w:val="C3"/>
          <w:rFonts w:ascii="Courier New" w:hAnsi="Courier New"/>
          <w:sz w:val="24"/>
        </w:rPr>
      </w:pPr>
    </w:p>
    <w:p>
      <w:pPr>
        <w:jc w:val="center"/>
        <w:rPr>
          <w:rStyle w:val="C3"/>
          <w:rFonts w:ascii="Courier New" w:hAnsi="Courier New"/>
          <w:b w:val="1"/>
          <w:sz w:val="24"/>
        </w:rPr>
      </w:pPr>
      <w:r>
        <w:rPr>
          <w:rStyle w:val="C3"/>
          <w:rFonts w:ascii="Courier New" w:hAnsi="Courier New"/>
          <w:b w:val="1"/>
          <w:sz w:val="24"/>
        </w:rPr>
        <w:t>EL HONORABLE CONCEJO DELIBERANTE DE LA CIUDAD DE</w:t>
      </w:r>
    </w:p>
    <w:p>
      <w:pPr>
        <w:jc w:val="center"/>
        <w:rPr>
          <w:rStyle w:val="C3"/>
          <w:rFonts w:ascii="Courier New" w:hAnsi="Courier New"/>
          <w:b w:val="1"/>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FÍJASE </w:t>
      </w:r>
      <w:r>
        <w:rPr>
          <w:rStyle w:val="C3"/>
          <w:rFonts w:ascii="Courier New" w:hAnsi="Courier New"/>
          <w:sz w:val="24"/>
        </w:rPr>
        <w:t>en la suma de PESOS VEINTISIETE MILLONES SEISCIENTOS OCHENTA Y CINCO MIL CIENTO QUINCE CON SETENTA Y CINCO CENTAVOS ($27.685.115,75.-), los Gastos Corrientes y de Capital del Presupuesto General de la Municipalidad de Alta Gracia para el Ejercicio 2007 con destino al cumplimiento de los objetivos propios de los Anexos que forman parte integrante de la presente Ordenanza.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ESTÍMASE </w:t>
      </w:r>
      <w:r>
        <w:rPr>
          <w:rStyle w:val="C3"/>
          <w:rFonts w:ascii="Courier New" w:hAnsi="Courier New"/>
          <w:sz w:val="24"/>
        </w:rPr>
        <w:t>en la suma de PESOS VEINTISIETE MILLONES SEISCIENTOS OCHENTA Y CINCO MIL CIENTO QUINCE CON SETENTA Y CINCO CENTAVOS($27.685.115,75.-) el cálculo de recursos detallado en planillas Anexas destinadas a atender las erogaciones a que se refiere el artículo anterior.</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ESTÍMASE </w:t>
      </w:r>
      <w:r>
        <w:rPr>
          <w:rStyle w:val="C3"/>
          <w:rFonts w:ascii="Courier New" w:hAnsi="Courier New"/>
          <w:sz w:val="24"/>
        </w:rPr>
        <w:t>el siguiente Balance Financiero Preventivo, determinado como consecuencia de lo establecido en los Art. Anteriores.</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RECURSOS. . . . . . . . . . . . . . . . . . .$27.685.115,75</w:t>
      </w:r>
    </w:p>
    <w:p>
      <w:pPr>
        <w:jc w:val="both"/>
        <w:rPr>
          <w:rStyle w:val="C3"/>
          <w:rFonts w:ascii="Courier New" w:hAnsi="Courier New"/>
          <w:sz w:val="24"/>
        </w:rPr>
      </w:pPr>
      <w:r>
        <w:rPr>
          <w:rStyle w:val="C3"/>
          <w:rFonts w:ascii="Courier New" w:hAnsi="Courier New"/>
          <w:sz w:val="24"/>
        </w:rPr>
        <w:t xml:space="preserve">MENOS                   </w:t>
      </w:r>
    </w:p>
    <w:p>
      <w:pPr>
        <w:jc w:val="both"/>
        <w:rPr>
          <w:rStyle w:val="C3"/>
          <w:rFonts w:ascii="Courier New" w:hAnsi="Courier New"/>
          <w:sz w:val="24"/>
          <w:u w:val="single"/>
        </w:rPr>
      </w:pPr>
      <w:r>
        <w:rPr>
          <w:rStyle w:val="C3"/>
          <w:rFonts w:ascii="Courier New" w:hAnsi="Courier New"/>
          <w:sz w:val="24"/>
        </w:rPr>
        <w:t>EGRESOS. . . . . . . . . . . . . . . . . . . $</w:t>
      </w:r>
      <w:r>
        <w:rPr>
          <w:rStyle w:val="C3"/>
          <w:rFonts w:ascii="Courier New" w:hAnsi="Courier New"/>
          <w:sz w:val="24"/>
          <w:u w:val="single"/>
        </w:rPr>
        <w:t>27.685.115,75</w:t>
      </w:r>
    </w:p>
    <w:p>
      <w:pPr>
        <w:jc w:val="both"/>
        <w:rPr>
          <w:rStyle w:val="C3"/>
          <w:rFonts w:ascii="Courier New" w:hAnsi="Courier New"/>
          <w:sz w:val="24"/>
        </w:rPr>
      </w:pPr>
      <w:r>
        <w:rPr>
          <w:rStyle w:val="C3"/>
          <w:rFonts w:ascii="Courier New" w:hAnsi="Courier New"/>
          <w:sz w:val="24"/>
        </w:rPr>
        <w:t>EQUILIBRADO. . . . . . . . . . . . . . . . . .------0------</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FACÚLTASE </w:t>
      </w:r>
      <w:r>
        <w:rPr>
          <w:rStyle w:val="C3"/>
          <w:rFonts w:ascii="Courier New" w:hAnsi="Courier New"/>
          <w:sz w:val="24"/>
        </w:rPr>
        <w:t>al Departamento Ejecutivo a refuncionalizar, crear, modificar o fusionar Organismos hasta el nivel de Jefes de Departamento, dentro de los límites presupuestarios fijados en la presente Ordenanza y lo establecido por Ordenanza N° 2147 “Estatuto para el Personal de la Administración Pública Municipal” y la Ordenanza N° 3519 “Escalafón Municipal” y sus modificatorias.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FACÚLTASE </w:t>
      </w:r>
      <w:r>
        <w:rPr>
          <w:rStyle w:val="C3"/>
          <w:rFonts w:ascii="Courier New" w:hAnsi="Courier New"/>
          <w:sz w:val="24"/>
        </w:rPr>
        <w:t>al</w:t>
      </w:r>
      <w:r>
        <w:rPr>
          <w:rStyle w:val="C3"/>
          <w:rFonts w:ascii="Courier New" w:hAnsi="Courier New"/>
          <w:b w:val="1"/>
          <w:sz w:val="24"/>
        </w:rPr>
        <w:t xml:space="preserve"> </w:t>
      </w:r>
      <w:r>
        <w:rPr>
          <w:rStyle w:val="C3"/>
          <w:rFonts w:ascii="Courier New" w:hAnsi="Courier New"/>
          <w:sz w:val="24"/>
        </w:rPr>
        <w:t xml:space="preserve">Departamento Ejecutivo para que por intermedio de la Secretaría de Economía se autorice por decreto las modificaciones presupuestarias que impliquen  compensaciones de rubros presupuestarios, de acuerdo a las siguientes condiciones:</w:t>
      </w:r>
    </w:p>
    <w:p>
      <w:pPr>
        <w:ind w:hanging="425" w:left="1701"/>
        <w:jc w:val="both"/>
        <w:rPr>
          <w:rStyle w:val="C3"/>
          <w:rFonts w:ascii="Courier New" w:hAnsi="Courier New"/>
          <w:sz w:val="24"/>
        </w:rPr>
      </w:pPr>
      <w:r>
        <w:rPr>
          <w:rStyle w:val="C3"/>
          <w:rFonts w:ascii="Courier New" w:hAnsi="Courier New"/>
          <w:b w:val="1"/>
          <w:sz w:val="24"/>
        </w:rPr>
        <w:t xml:space="preserve">1) </w:t>
      </w:r>
      <w:r>
        <w:rPr>
          <w:rStyle w:val="C3"/>
          <w:rFonts w:ascii="Courier New" w:hAnsi="Courier New"/>
          <w:sz w:val="24"/>
        </w:rPr>
        <w:t>Que no se modifique el monto total del Cálculo de Recursos y Presupuesto General de Gastos Vigentes.</w:t>
      </w:r>
    </w:p>
    <w:p>
      <w:pPr>
        <w:ind w:hanging="425" w:left="1701"/>
        <w:jc w:val="both"/>
        <w:rPr>
          <w:rStyle w:val="C3"/>
          <w:rFonts w:ascii="Courier New" w:hAnsi="Courier New"/>
          <w:sz w:val="24"/>
        </w:rPr>
      </w:pPr>
      <w:r>
        <w:rPr>
          <w:rStyle w:val="C3"/>
          <w:rFonts w:ascii="Courier New" w:hAnsi="Courier New"/>
          <w:b w:val="1"/>
          <w:sz w:val="24"/>
        </w:rPr>
        <w:t xml:space="preserve">2) </w:t>
      </w:r>
      <w:r>
        <w:rPr>
          <w:rStyle w:val="C3"/>
          <w:rFonts w:ascii="Courier New" w:hAnsi="Courier New"/>
          <w:sz w:val="24"/>
        </w:rPr>
        <w:t>Que no se disminuyan o incrementen los créditos acordados a cada partida de Erogaciones que se correspondan, en contrapartida, con igual crédito en el Cálculo de Recursos.</w:t>
      </w:r>
    </w:p>
    <w:p>
      <w:pPr>
        <w:ind w:hanging="425" w:left="1701"/>
        <w:jc w:val="both"/>
        <w:rPr>
          <w:rStyle w:val="C3"/>
          <w:rFonts w:ascii="Courier New" w:hAnsi="Courier New"/>
          <w:sz w:val="24"/>
        </w:rPr>
      </w:pPr>
      <w:r>
        <w:rPr>
          <w:rStyle w:val="C3"/>
          <w:rFonts w:ascii="Courier New" w:hAnsi="Courier New"/>
          <w:b w:val="1"/>
          <w:sz w:val="24"/>
        </w:rPr>
        <w:t xml:space="preserve">3) </w:t>
      </w:r>
      <w:r>
        <w:rPr>
          <w:rStyle w:val="C3"/>
          <w:rFonts w:ascii="Courier New" w:hAnsi="Courier New"/>
          <w:sz w:val="24"/>
        </w:rPr>
        <w:t>Que no disminuyan o incrementen los créditos acordados globalmente por nivel institucional.</w:t>
      </w:r>
    </w:p>
    <w:p>
      <w:pPr>
        <w:ind w:hanging="425" w:left="1701"/>
        <w:jc w:val="both"/>
        <w:rPr>
          <w:rStyle w:val="C3"/>
          <w:rFonts w:ascii="Courier New" w:hAnsi="Courier New"/>
          <w:sz w:val="24"/>
        </w:rPr>
      </w:pPr>
      <w:r>
        <w:rPr>
          <w:rStyle w:val="C3"/>
          <w:rFonts w:ascii="Courier New" w:hAnsi="Courier New"/>
          <w:sz w:val="24"/>
        </w:rPr>
        <w:t>Pudiendo efectuarse modificaciones sólo dentro de cada nivel institucional definido por esta Ordenanza de Presupuesto en las siguientes Áreas:</w:t>
      </w:r>
    </w:p>
    <w:p>
      <w:pPr>
        <w:ind w:hanging="567" w:left="2835"/>
        <w:jc w:val="both"/>
        <w:rPr>
          <w:rStyle w:val="C3"/>
          <w:rFonts w:ascii="Courier New" w:hAnsi="Courier New"/>
          <w:sz w:val="24"/>
        </w:rPr>
      </w:pPr>
      <w:r>
        <w:rPr>
          <w:rStyle w:val="C3"/>
          <w:rFonts w:ascii="Courier New" w:hAnsi="Courier New"/>
          <w:b w:val="1"/>
          <w:sz w:val="24"/>
        </w:rPr>
        <w:t xml:space="preserve">1.- </w:t>
      </w:r>
      <w:r>
        <w:rPr>
          <w:rStyle w:val="C3"/>
          <w:rFonts w:ascii="Courier New" w:hAnsi="Courier New"/>
          <w:sz w:val="24"/>
        </w:rPr>
        <w:t>Departamento Ejecutivo</w:t>
      </w:r>
    </w:p>
    <w:p>
      <w:pPr>
        <w:ind w:hanging="567" w:left="2835"/>
        <w:jc w:val="both"/>
        <w:rPr>
          <w:rStyle w:val="C3"/>
          <w:rFonts w:ascii="Courier New" w:hAnsi="Courier New"/>
          <w:sz w:val="24"/>
        </w:rPr>
      </w:pPr>
      <w:r>
        <w:rPr>
          <w:rStyle w:val="C3"/>
          <w:rFonts w:ascii="Courier New" w:hAnsi="Courier New"/>
          <w:b w:val="1"/>
          <w:sz w:val="24"/>
        </w:rPr>
        <w:t xml:space="preserve">2.- </w:t>
      </w:r>
      <w:r>
        <w:rPr>
          <w:rStyle w:val="C3"/>
          <w:rFonts w:ascii="Courier New" w:hAnsi="Courier New"/>
          <w:sz w:val="24"/>
        </w:rPr>
        <w:t>Honorable Concejo Deliberante</w:t>
      </w:r>
    </w:p>
    <w:p>
      <w:pPr>
        <w:ind w:hanging="567" w:left="2835"/>
        <w:jc w:val="both"/>
        <w:rPr>
          <w:rStyle w:val="C3"/>
          <w:rFonts w:ascii="Courier New" w:hAnsi="Courier New"/>
          <w:sz w:val="24"/>
        </w:rPr>
      </w:pPr>
      <w:r>
        <w:rPr>
          <w:rStyle w:val="C3"/>
          <w:rFonts w:ascii="Courier New" w:hAnsi="Courier New"/>
          <w:b w:val="1"/>
          <w:sz w:val="24"/>
        </w:rPr>
        <w:t>3.</w:t>
      </w:r>
      <w:r>
        <w:rPr>
          <w:rStyle w:val="C3"/>
          <w:rFonts w:ascii="Courier New" w:hAnsi="Courier New"/>
          <w:sz w:val="24"/>
        </w:rPr>
        <w:t>- Secretaria de Gobierno</w:t>
      </w:r>
    </w:p>
    <w:p>
      <w:pPr>
        <w:ind w:hanging="567" w:left="2835"/>
        <w:jc w:val="both"/>
        <w:rPr>
          <w:rStyle w:val="C3"/>
          <w:rFonts w:ascii="Courier New" w:hAnsi="Courier New"/>
          <w:sz w:val="24"/>
        </w:rPr>
      </w:pPr>
      <w:r>
        <w:rPr>
          <w:rStyle w:val="C3"/>
          <w:rFonts w:ascii="Courier New" w:hAnsi="Courier New"/>
          <w:b w:val="1"/>
          <w:sz w:val="24"/>
        </w:rPr>
        <w:t>4.</w:t>
      </w:r>
      <w:r>
        <w:rPr>
          <w:rStyle w:val="C3"/>
          <w:rFonts w:ascii="Courier New" w:hAnsi="Courier New"/>
          <w:sz w:val="24"/>
        </w:rPr>
        <w:t>- Dirección de Cultura y Educación</w:t>
      </w:r>
    </w:p>
    <w:p>
      <w:pPr>
        <w:ind w:hanging="567" w:left="2835"/>
        <w:jc w:val="both"/>
        <w:rPr>
          <w:rStyle w:val="C3"/>
          <w:rFonts w:ascii="Courier New" w:hAnsi="Courier New"/>
          <w:sz w:val="24"/>
        </w:rPr>
      </w:pPr>
      <w:r>
        <w:rPr>
          <w:rStyle w:val="C3"/>
          <w:rFonts w:ascii="Courier New" w:hAnsi="Courier New"/>
          <w:b w:val="1"/>
          <w:sz w:val="24"/>
        </w:rPr>
        <w:t>5.</w:t>
      </w:r>
      <w:r>
        <w:rPr>
          <w:rStyle w:val="C3"/>
          <w:rFonts w:ascii="Courier New" w:hAnsi="Courier New"/>
          <w:sz w:val="24"/>
        </w:rPr>
        <w:t>- Dirección de Deportes</w:t>
      </w:r>
    </w:p>
    <w:p>
      <w:pPr>
        <w:ind w:hanging="567" w:left="2835"/>
        <w:jc w:val="both"/>
        <w:rPr>
          <w:rStyle w:val="C3"/>
          <w:rFonts w:ascii="Courier New" w:hAnsi="Courier New"/>
          <w:sz w:val="24"/>
        </w:rPr>
      </w:pPr>
      <w:r>
        <w:rPr>
          <w:rStyle w:val="C3"/>
          <w:rFonts w:ascii="Courier New" w:hAnsi="Courier New"/>
          <w:b w:val="1"/>
          <w:sz w:val="24"/>
        </w:rPr>
        <w:t>6.</w:t>
      </w:r>
      <w:r>
        <w:rPr>
          <w:rStyle w:val="C3"/>
          <w:rFonts w:ascii="Courier New" w:hAnsi="Courier New"/>
          <w:sz w:val="24"/>
        </w:rPr>
        <w:t>- Dirección de Salud Pública y Medio Ambiente</w:t>
      </w:r>
    </w:p>
    <w:p>
      <w:pPr>
        <w:ind w:hanging="567" w:left="2835"/>
        <w:jc w:val="both"/>
        <w:rPr>
          <w:rStyle w:val="C3"/>
          <w:rFonts w:ascii="Courier New" w:hAnsi="Courier New"/>
          <w:sz w:val="24"/>
        </w:rPr>
      </w:pPr>
      <w:r>
        <w:rPr>
          <w:rStyle w:val="C3"/>
          <w:rFonts w:ascii="Courier New" w:hAnsi="Courier New"/>
          <w:b w:val="1"/>
          <w:sz w:val="24"/>
        </w:rPr>
        <w:t>7.</w:t>
      </w:r>
      <w:r>
        <w:rPr>
          <w:rStyle w:val="C3"/>
          <w:rFonts w:ascii="Courier New" w:hAnsi="Courier New"/>
          <w:sz w:val="24"/>
        </w:rPr>
        <w:t>- Dirección de Desarrollo Humano y Trabajo</w:t>
      </w:r>
    </w:p>
    <w:p>
      <w:pPr>
        <w:ind w:hanging="567" w:left="2835"/>
        <w:jc w:val="both"/>
        <w:rPr>
          <w:rStyle w:val="C3"/>
          <w:rFonts w:ascii="Courier New" w:hAnsi="Courier New"/>
          <w:sz w:val="24"/>
        </w:rPr>
      </w:pPr>
      <w:r>
        <w:rPr>
          <w:rStyle w:val="C3"/>
          <w:rFonts w:ascii="Courier New" w:hAnsi="Courier New"/>
          <w:b w:val="1"/>
          <w:sz w:val="24"/>
        </w:rPr>
        <w:t>8.</w:t>
      </w:r>
      <w:r>
        <w:rPr>
          <w:rStyle w:val="C3"/>
          <w:rFonts w:ascii="Courier New" w:hAnsi="Courier New"/>
          <w:sz w:val="24"/>
        </w:rPr>
        <w:t>- Dirección de Turismo</w:t>
      </w:r>
    </w:p>
    <w:p>
      <w:pPr>
        <w:ind w:hanging="567" w:left="2835"/>
        <w:jc w:val="both"/>
        <w:rPr>
          <w:rStyle w:val="C3"/>
          <w:rFonts w:ascii="Courier New" w:hAnsi="Courier New"/>
          <w:sz w:val="24"/>
        </w:rPr>
      </w:pPr>
      <w:r>
        <w:rPr>
          <w:rStyle w:val="C3"/>
          <w:rFonts w:ascii="Courier New" w:hAnsi="Courier New"/>
          <w:b w:val="1"/>
          <w:sz w:val="24"/>
        </w:rPr>
        <w:t>9.</w:t>
      </w:r>
      <w:r>
        <w:rPr>
          <w:rStyle w:val="C3"/>
          <w:rFonts w:ascii="Courier New" w:hAnsi="Courier New"/>
          <w:sz w:val="24"/>
        </w:rPr>
        <w:t xml:space="preserve">- Secretaría General y de Coordinación      Administrativa</w:t>
      </w:r>
    </w:p>
    <w:p>
      <w:pPr>
        <w:ind w:hanging="567" w:left="2835"/>
        <w:jc w:val="both"/>
        <w:rPr>
          <w:rStyle w:val="C3"/>
          <w:rFonts w:ascii="Courier New" w:hAnsi="Courier New"/>
          <w:b w:val="1"/>
          <w:sz w:val="24"/>
        </w:rPr>
      </w:pPr>
    </w:p>
    <w:p>
      <w:pPr>
        <w:ind w:hanging="567" w:left="2835"/>
        <w:jc w:val="right"/>
        <w:rPr>
          <w:rStyle w:val="C3"/>
          <w:rFonts w:ascii="Courier New" w:hAnsi="Courier New"/>
          <w:sz w:val="24"/>
        </w:rPr>
      </w:pPr>
      <w:r>
        <w:rPr>
          <w:rStyle w:val="C3"/>
          <w:rFonts w:ascii="Courier New" w:hAnsi="Courier New"/>
          <w:sz w:val="24"/>
        </w:rPr>
        <w:t>...///</w:t>
      </w:r>
    </w:p>
    <w:p>
      <w:pPr>
        <w:ind w:hanging="567" w:left="2835"/>
        <w:jc w:val="both"/>
        <w:rPr>
          <w:rStyle w:val="C3"/>
          <w:rFonts w:ascii="Courier New" w:hAnsi="Courier New"/>
          <w:b w:val="1"/>
          <w:sz w:val="24"/>
        </w:rPr>
      </w:pPr>
    </w:p>
    <w:p>
      <w:pPr>
        <w:ind w:hanging="567" w:left="2835"/>
        <w:jc w:val="both"/>
        <w:rPr>
          <w:rStyle w:val="C3"/>
          <w:rFonts w:ascii="Courier New" w:hAnsi="Courier New"/>
          <w:b w:val="1"/>
          <w:sz w:val="24"/>
        </w:rPr>
      </w:pPr>
    </w:p>
    <w:p>
      <w:pPr>
        <w:ind w:hanging="567" w:left="2835"/>
        <w:jc w:val="both"/>
        <w:rPr>
          <w:rStyle w:val="C3"/>
          <w:rFonts w:ascii="Courier New" w:hAnsi="Courier New"/>
          <w:b w:val="1"/>
          <w:sz w:val="24"/>
        </w:rPr>
      </w:pPr>
    </w:p>
    <w:p>
      <w:pPr>
        <w:ind w:hanging="567" w:left="2835"/>
        <w:jc w:val="both"/>
        <w:rPr>
          <w:rStyle w:val="C3"/>
          <w:rFonts w:ascii="Courier New" w:hAnsi="Courier New"/>
          <w:b w:val="1"/>
          <w:sz w:val="24"/>
        </w:rPr>
      </w:pPr>
    </w:p>
    <w:p>
      <w:pPr>
        <w:ind w:hanging="567" w:left="2835"/>
        <w:jc w:val="both"/>
        <w:rPr>
          <w:rStyle w:val="C3"/>
          <w:rFonts w:ascii="Courier New" w:hAnsi="Courier New"/>
          <w:b w:val="1"/>
          <w:sz w:val="24"/>
        </w:rPr>
      </w:pPr>
    </w:p>
    <w:p>
      <w:pPr>
        <w:ind w:hanging="567" w:left="2835"/>
        <w:jc w:val="both"/>
        <w:rPr>
          <w:rStyle w:val="C3"/>
          <w:rFonts w:ascii="Courier New" w:hAnsi="Courier New"/>
          <w:b w:val="1"/>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...///3.-</w:t>
      </w:r>
    </w:p>
    <w:p>
      <w:pPr>
        <w:ind w:hanging="567" w:left="2835"/>
        <w:jc w:val="both"/>
        <w:rPr>
          <w:rStyle w:val="C3"/>
          <w:rFonts w:ascii="Courier New" w:hAnsi="Courier New"/>
          <w:b w:val="1"/>
          <w:sz w:val="24"/>
        </w:rPr>
      </w:pPr>
    </w:p>
    <w:p>
      <w:pPr>
        <w:ind w:hanging="567" w:left="2835"/>
        <w:jc w:val="both"/>
        <w:rPr>
          <w:rStyle w:val="C3"/>
          <w:rFonts w:ascii="Courier New" w:hAnsi="Courier New"/>
          <w:sz w:val="24"/>
        </w:rPr>
      </w:pPr>
      <w:r>
        <w:rPr>
          <w:rStyle w:val="C3"/>
          <w:rFonts w:ascii="Courier New" w:hAnsi="Courier New"/>
          <w:b w:val="1"/>
          <w:sz w:val="24"/>
        </w:rPr>
        <w:t>10.</w:t>
      </w:r>
      <w:r>
        <w:rPr>
          <w:rStyle w:val="C3"/>
          <w:rFonts w:ascii="Courier New" w:hAnsi="Courier New"/>
          <w:sz w:val="24"/>
        </w:rPr>
        <w:t>- Dirección de Personal</w:t>
      </w:r>
    </w:p>
    <w:p>
      <w:pPr>
        <w:ind w:hanging="567" w:left="2835"/>
        <w:jc w:val="both"/>
        <w:rPr>
          <w:rStyle w:val="C3"/>
          <w:rFonts w:ascii="Courier New" w:hAnsi="Courier New"/>
          <w:sz w:val="24"/>
        </w:rPr>
      </w:pPr>
      <w:r>
        <w:rPr>
          <w:rStyle w:val="C3"/>
          <w:rFonts w:ascii="Courier New" w:hAnsi="Courier New"/>
          <w:b w:val="1"/>
          <w:sz w:val="24"/>
        </w:rPr>
        <w:t>11.</w:t>
      </w:r>
      <w:r>
        <w:rPr>
          <w:rStyle w:val="C3"/>
          <w:rFonts w:ascii="Courier New" w:hAnsi="Courier New"/>
          <w:sz w:val="24"/>
        </w:rPr>
        <w:t>- Secretaría de Obras y Servicios Públicos</w:t>
      </w:r>
    </w:p>
    <w:p>
      <w:pPr>
        <w:ind w:hanging="567" w:left="2835"/>
        <w:jc w:val="both"/>
        <w:rPr>
          <w:rStyle w:val="C3"/>
          <w:rFonts w:ascii="Courier New" w:hAnsi="Courier New"/>
          <w:sz w:val="24"/>
        </w:rPr>
      </w:pPr>
      <w:r>
        <w:rPr>
          <w:rStyle w:val="C3"/>
          <w:rFonts w:ascii="Courier New" w:hAnsi="Courier New"/>
          <w:b w:val="1"/>
          <w:sz w:val="24"/>
        </w:rPr>
        <w:t>12.</w:t>
      </w:r>
      <w:r>
        <w:rPr>
          <w:rStyle w:val="C3"/>
          <w:rFonts w:ascii="Courier New" w:hAnsi="Courier New"/>
          <w:sz w:val="24"/>
        </w:rPr>
        <w:t>- Dirección de Servicios Públicos</w:t>
      </w:r>
    </w:p>
    <w:p>
      <w:pPr>
        <w:ind w:hanging="567" w:left="2835"/>
        <w:jc w:val="both"/>
        <w:rPr>
          <w:rStyle w:val="C3"/>
          <w:rFonts w:ascii="Courier New" w:hAnsi="Courier New"/>
          <w:sz w:val="24"/>
        </w:rPr>
      </w:pPr>
      <w:r>
        <w:rPr>
          <w:rStyle w:val="C3"/>
          <w:rFonts w:ascii="Courier New" w:hAnsi="Courier New"/>
          <w:b w:val="1"/>
          <w:sz w:val="24"/>
        </w:rPr>
        <w:t>13.</w:t>
      </w:r>
      <w:r>
        <w:rPr>
          <w:rStyle w:val="C3"/>
          <w:rFonts w:ascii="Courier New" w:hAnsi="Courier New"/>
          <w:sz w:val="24"/>
        </w:rPr>
        <w:t>- Dirección de Vivienda</w:t>
      </w:r>
    </w:p>
    <w:p>
      <w:pPr>
        <w:ind w:hanging="567" w:left="2835"/>
        <w:jc w:val="both"/>
        <w:rPr>
          <w:rStyle w:val="C3"/>
          <w:rFonts w:ascii="Courier New" w:hAnsi="Courier New"/>
          <w:sz w:val="24"/>
        </w:rPr>
      </w:pPr>
      <w:r>
        <w:rPr>
          <w:rStyle w:val="C3"/>
          <w:rFonts w:ascii="Courier New" w:hAnsi="Courier New"/>
          <w:b w:val="1"/>
          <w:sz w:val="24"/>
        </w:rPr>
        <w:t>14.</w:t>
      </w:r>
      <w:r>
        <w:rPr>
          <w:rStyle w:val="C3"/>
          <w:rFonts w:ascii="Courier New" w:hAnsi="Courier New"/>
          <w:sz w:val="24"/>
        </w:rPr>
        <w:t>- Secretaría de Economía</w:t>
      </w:r>
    </w:p>
    <w:p>
      <w:pPr>
        <w:ind w:hanging="567" w:left="2835"/>
        <w:jc w:val="both"/>
        <w:rPr>
          <w:rStyle w:val="C3"/>
          <w:rFonts w:ascii="Courier New" w:hAnsi="Courier New"/>
          <w:sz w:val="24"/>
        </w:rPr>
      </w:pPr>
      <w:r>
        <w:rPr>
          <w:rStyle w:val="C3"/>
          <w:rFonts w:ascii="Courier New" w:hAnsi="Courier New"/>
          <w:b w:val="1"/>
          <w:sz w:val="24"/>
        </w:rPr>
        <w:t>15.</w:t>
      </w:r>
      <w:r>
        <w:rPr>
          <w:rStyle w:val="C3"/>
          <w:rFonts w:ascii="Courier New" w:hAnsi="Courier New"/>
          <w:sz w:val="24"/>
        </w:rPr>
        <w:t>- Dirección de Ingresos Públicos</w:t>
      </w:r>
    </w:p>
    <w:p>
      <w:pPr>
        <w:ind w:hanging="567" w:left="2835"/>
        <w:jc w:val="both"/>
        <w:rPr>
          <w:rStyle w:val="C3"/>
          <w:rFonts w:ascii="Courier New" w:hAnsi="Courier New"/>
          <w:sz w:val="24"/>
        </w:rPr>
      </w:pPr>
      <w:r>
        <w:rPr>
          <w:rStyle w:val="C3"/>
          <w:rFonts w:ascii="Courier New" w:hAnsi="Courier New"/>
          <w:b w:val="1"/>
          <w:sz w:val="24"/>
        </w:rPr>
        <w:t>16.</w:t>
      </w:r>
      <w:r>
        <w:rPr>
          <w:rStyle w:val="C3"/>
          <w:rFonts w:ascii="Courier New" w:hAnsi="Courier New"/>
          <w:sz w:val="24"/>
        </w:rPr>
        <w:t>- Asesoría Letrada</w:t>
      </w:r>
    </w:p>
    <w:p>
      <w:pPr>
        <w:ind w:hanging="567" w:left="2835"/>
        <w:jc w:val="both"/>
        <w:rPr>
          <w:rStyle w:val="C3"/>
          <w:rFonts w:ascii="Courier New" w:hAnsi="Courier New"/>
          <w:sz w:val="24"/>
        </w:rPr>
      </w:pPr>
      <w:r>
        <w:rPr>
          <w:rStyle w:val="C3"/>
          <w:rFonts w:ascii="Courier New" w:hAnsi="Courier New"/>
          <w:b w:val="1"/>
          <w:sz w:val="24"/>
        </w:rPr>
        <w:t>17.</w:t>
      </w:r>
      <w:r>
        <w:rPr>
          <w:rStyle w:val="C3"/>
          <w:rFonts w:ascii="Courier New" w:hAnsi="Courier New"/>
          <w:sz w:val="24"/>
        </w:rPr>
        <w:t>- Tribunal Administrativo de Faltas</w:t>
      </w:r>
    </w:p>
    <w:p>
      <w:pPr>
        <w:ind w:hanging="567" w:left="2835"/>
        <w:jc w:val="both"/>
        <w:rPr>
          <w:rStyle w:val="C3"/>
          <w:rFonts w:ascii="Courier New" w:hAnsi="Courier New"/>
          <w:sz w:val="24"/>
        </w:rPr>
      </w:pPr>
      <w:r>
        <w:rPr>
          <w:rStyle w:val="C3"/>
          <w:rFonts w:ascii="Courier New" w:hAnsi="Courier New"/>
          <w:b w:val="1"/>
          <w:sz w:val="24"/>
        </w:rPr>
        <w:t>18.</w:t>
      </w:r>
      <w:r>
        <w:rPr>
          <w:rStyle w:val="C3"/>
          <w:rFonts w:ascii="Courier New" w:hAnsi="Courier New"/>
          <w:sz w:val="24"/>
        </w:rPr>
        <w:t>- Tribunal de Cuenta</w:t>
      </w:r>
    </w:p>
    <w:p>
      <w:pPr>
        <w:pStyle w:val="P16"/>
      </w:pPr>
      <w:r>
        <w:t>Pudiendo efectuarse modificaciones sólo dentro de las Áreas que integran cada uno de los grupos antes indicados; no pudiendo realizar compensaciones de erogaciones de capital a erogaciones corrientes sin autorización del Honorable Concejo Deliberante. En caso de ser necesarias compensaciones presupuestarias entre las Áreas mencionadas en el inc. 3), sólo pueden realizarse mediante Decreto del Departamento Ejecutivo compensaciones de hasta PESOS TRES MIL ($3.000.-) durante la vigencia del presente presupuesto, las que superen dicho monto deben ser autorizadas por el Honorable Concejo Deliberante.</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REGIMEN DE CONTRATACIONES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TODA</w:t>
      </w:r>
      <w:r>
        <w:rPr>
          <w:rStyle w:val="C3"/>
          <w:rFonts w:ascii="Courier New" w:hAnsi="Courier New"/>
          <w:sz w:val="24"/>
        </w:rPr>
        <w:t xml:space="preserve"> contratación efectuada por la Municipalidad, con excepción de los casos expresamente previstos en Ordenanzas especiales, deben realizarse mediante el procedimiento establecido en la presente Ordenanza. En todos los actos de apertura es obligatoria la presencia de dos (2) miembros del Honorable Concejo Deliberante, un concejal en representación de la mayoría y otro por la minoría, y dos (2) miembros del Tribunal de Cuentas, un tribuno en representación de la mayoría y otro por la minoría, en carácter de miembros de la Comisión Adjudicataria. La invitación al acto deberá ser efectuada con siete (7) días hábiles de anticipación en forma fehaciente bajo pena de nulidad del acto.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EL </w:t>
      </w:r>
      <w:r>
        <w:rPr>
          <w:rStyle w:val="C3"/>
          <w:rFonts w:ascii="Courier New" w:hAnsi="Courier New"/>
          <w:sz w:val="24"/>
        </w:rPr>
        <w:t>procedimiento de selección del contratante será público, como regla general, salvo los casos dispuestos en los artículos siguientes.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...///4.-</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TODA </w:t>
      </w:r>
      <w:r>
        <w:rPr>
          <w:rStyle w:val="C3"/>
          <w:rFonts w:ascii="Courier New" w:hAnsi="Courier New"/>
          <w:sz w:val="24"/>
        </w:rPr>
        <w:t>venta de bienes del patrimonio municipal, se efectuará por Licitación o Remate Público, salvo excepción fundada en Ordenanza especial. El llamado será autorizado por el Concejo Deliberante, mediante la Sanción de la Ordenanza respectiva, correspondiendo la adjudicación al Departamento Ejecutivo, con arreglo a las bases fijadas en los respectivos pliegos de Condiciones Generales, Particulares y de Especificaciones Técnicas.</w:t>
      </w:r>
    </w:p>
    <w:p>
      <w:pPr>
        <w:ind w:left="709"/>
        <w:jc w:val="both"/>
        <w:rPr>
          <w:rStyle w:val="C3"/>
          <w:rFonts w:ascii="Courier New" w:hAnsi="Courier New"/>
          <w:sz w:val="24"/>
        </w:rPr>
      </w:pPr>
      <w:r>
        <w:rPr>
          <w:rStyle w:val="C3"/>
          <w:rFonts w:ascii="Courier New" w:hAnsi="Courier New"/>
          <w:sz w:val="24"/>
        </w:rPr>
        <w:t>Quien concurra a una licitación, no podrá alegar en caso alguno, falta de conocimiento del Pliego general de Condiciones ni de los Pliegos Particulares o de Especificaciones técnicas, previstos en esta Ordenanza.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atinencia.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NO</w:t>
      </w:r>
      <w:r>
        <w:rPr>
          <w:rStyle w:val="C3"/>
          <w:rFonts w:ascii="Courier New" w:hAnsi="Courier New"/>
          <w:sz w:val="24"/>
        </w:rPr>
        <w:t xml:space="preserve"> serán admitidos a contratar con la Municipalidad de Alta Gracia, además de los que se hallen comprendidos en prohibiciones establecidas por las Leyes vigentes, aquellos contribuyentes que no hubieran dado satisfactorio cumplimiento a contratos celebrados anteriormente con el municipio y los deudores morosos, definiéndose como tales a quienes mantengan un atraso de más de tres (3) cuotas de cualquier contribución u obligación municipal. Asimismo, no podrán ser proponentes, contratistas ni concesionarios del municipio, los funcionarios y empleados del Estado en cualquiera de sus formas ni empleados de empresas concesionarias del estado Municipal.</w:t>
      </w:r>
    </w:p>
    <w:p>
      <w:pPr>
        <w:ind w:left="709"/>
        <w:jc w:val="both"/>
        <w:rPr>
          <w:rStyle w:val="C3"/>
          <w:rFonts w:ascii="Courier New" w:hAnsi="Courier New"/>
          <w:sz w:val="24"/>
        </w:rPr>
      </w:pPr>
      <w:r>
        <w:rPr>
          <w:rStyle w:val="C3"/>
          <w:rFonts w:ascii="Courier New" w:hAnsi="Courier New"/>
          <w:sz w:val="24"/>
        </w:rPr>
        <w:t>Podrán presentarse y contratarse los deudores morosos con el municipio bajo las siguientes condiciones:</w:t>
      </w:r>
    </w:p>
    <w:p>
      <w:pPr>
        <w:ind w:hanging="426" w:left="1560"/>
        <w:jc w:val="both"/>
        <w:rPr>
          <w:rStyle w:val="C3"/>
          <w:rFonts w:ascii="Courier New" w:hAnsi="Courier New"/>
          <w:sz w:val="24"/>
        </w:rPr>
      </w:pPr>
      <w:r>
        <w:rPr>
          <w:rStyle w:val="C3"/>
          <w:rFonts w:ascii="Courier New" w:hAnsi="Courier New"/>
          <w:b w:val="1"/>
          <w:sz w:val="24"/>
        </w:rPr>
        <w:t>a)</w:t>
      </w:r>
      <w:r>
        <w:rPr>
          <w:rStyle w:val="C3"/>
          <w:rFonts w:ascii="Courier New" w:hAnsi="Courier New"/>
          <w:sz w:val="24"/>
        </w:rPr>
        <w:t xml:space="preserve">  Deberán ofrecer no menos del setenta por ciento (70%) del monto de contratación como parte de pago o pago a cuenta de obligación vencida.</w:t>
      </w:r>
    </w:p>
    <w:p>
      <w:pPr>
        <w:ind w:hanging="426" w:left="1560"/>
        <w:jc w:val="both"/>
        <w:rPr>
          <w:rStyle w:val="C3"/>
          <w:rFonts w:ascii="Courier New" w:hAnsi="Courier New"/>
          <w:b w:val="1"/>
          <w:sz w:val="24"/>
        </w:rPr>
      </w:pPr>
    </w:p>
    <w:p>
      <w:pPr>
        <w:ind w:hanging="426" w:left="1560"/>
        <w:jc w:val="right"/>
        <w:rPr>
          <w:rStyle w:val="C3"/>
          <w:rFonts w:ascii="Courier New" w:hAnsi="Courier New"/>
          <w:sz w:val="24"/>
        </w:rPr>
      </w:pPr>
      <w:r>
        <w:rPr>
          <w:rStyle w:val="C3"/>
          <w:rFonts w:ascii="Courier New" w:hAnsi="Courier New"/>
          <w:sz w:val="24"/>
        </w:rPr>
        <w:t>...///</w:t>
      </w: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sz w:val="24"/>
        </w:rPr>
        <w:t>...///5.-</w:t>
      </w:r>
    </w:p>
    <w:p>
      <w:pPr>
        <w:ind w:hanging="426" w:left="1560"/>
        <w:jc w:val="both"/>
        <w:rPr>
          <w:rStyle w:val="C3"/>
          <w:rFonts w:ascii="Courier New" w:hAnsi="Courier New"/>
          <w:b w:val="1"/>
          <w:sz w:val="24"/>
        </w:rPr>
      </w:pPr>
    </w:p>
    <w:p>
      <w:pPr>
        <w:ind w:hanging="426" w:left="1560"/>
        <w:jc w:val="both"/>
        <w:rPr>
          <w:rStyle w:val="C3"/>
          <w:rFonts w:ascii="Courier New" w:hAnsi="Courier New"/>
          <w:sz w:val="24"/>
        </w:rPr>
      </w:pPr>
      <w:r>
        <w:rPr>
          <w:rStyle w:val="C3"/>
          <w:rFonts w:ascii="Courier New" w:hAnsi="Courier New"/>
          <w:b w:val="1"/>
          <w:sz w:val="24"/>
        </w:rPr>
        <w:t>b)</w:t>
      </w:r>
      <w:r>
        <w:rPr>
          <w:rStyle w:val="C3"/>
          <w:rFonts w:ascii="Courier New" w:hAnsi="Courier New"/>
          <w:sz w:val="24"/>
        </w:rPr>
        <w:t xml:space="preserve"> Ante igualdad de ofertas se tendrán en cuenta las siguientes instancias:</w:t>
      </w:r>
    </w:p>
    <w:p>
      <w:pPr>
        <w:ind w:hanging="425" w:left="2268"/>
        <w:jc w:val="both"/>
        <w:rPr>
          <w:rStyle w:val="C3"/>
          <w:rFonts w:ascii="Courier New" w:hAnsi="Courier New"/>
          <w:sz w:val="24"/>
        </w:rPr>
      </w:pPr>
      <w:r>
        <w:rPr>
          <w:rStyle w:val="C3"/>
          <w:rFonts w:ascii="Courier New" w:hAnsi="Courier New"/>
          <w:b w:val="1"/>
          <w:sz w:val="24"/>
        </w:rPr>
        <w:t xml:space="preserve">1. </w:t>
      </w:r>
      <w:r>
        <w:rPr>
          <w:rStyle w:val="C3"/>
          <w:rFonts w:ascii="Courier New" w:hAnsi="Courier New"/>
          <w:sz w:val="24"/>
        </w:rPr>
        <w:t xml:space="preserve">Entre un deudor moroso y un oferente local en situación normal, será adjudicado   al que no registre deuda vencida.</w:t>
      </w:r>
    </w:p>
    <w:p>
      <w:pPr>
        <w:ind w:hanging="425" w:left="2268"/>
        <w:jc w:val="both"/>
        <w:rPr>
          <w:rStyle w:val="C3"/>
          <w:rFonts w:ascii="Courier New" w:hAnsi="Courier New"/>
          <w:sz w:val="24"/>
        </w:rPr>
      </w:pPr>
      <w:r>
        <w:rPr>
          <w:rStyle w:val="C3"/>
          <w:rFonts w:ascii="Courier New" w:hAnsi="Courier New"/>
          <w:b w:val="1"/>
          <w:sz w:val="24"/>
        </w:rPr>
        <w:t xml:space="preserve">2. </w:t>
      </w:r>
      <w:r>
        <w:rPr>
          <w:rStyle w:val="C3"/>
          <w:rFonts w:ascii="Courier New" w:hAnsi="Courier New"/>
          <w:sz w:val="24"/>
        </w:rPr>
        <w:t>Entre dos (2) deudores morosos se adjudicará al que registre menor tiempo de morosidad, sin considerar la oferta de pago a cuenta o cancelación.</w:t>
      </w:r>
    </w:p>
    <w:p>
      <w:pPr>
        <w:ind w:hanging="425" w:left="2268"/>
        <w:jc w:val="both"/>
        <w:rPr>
          <w:rStyle w:val="C3"/>
          <w:rFonts w:ascii="Courier New" w:hAnsi="Courier New"/>
          <w:sz w:val="24"/>
        </w:rPr>
      </w:pPr>
      <w:r>
        <w:rPr>
          <w:rStyle w:val="C3"/>
          <w:rFonts w:ascii="Courier New" w:hAnsi="Courier New"/>
          <w:b w:val="1"/>
          <w:sz w:val="24"/>
        </w:rPr>
        <w:t>3.</w:t>
      </w:r>
      <w:r>
        <w:rPr>
          <w:rStyle w:val="C3"/>
          <w:rFonts w:ascii="Courier New" w:hAnsi="Courier New"/>
          <w:sz w:val="24"/>
        </w:rPr>
        <w:t xml:space="preserve"> Entre un (1) deudor moroso y un (1) oferente no local se adjudicará al primero.</w:t>
      </w:r>
    </w:p>
    <w:p>
      <w:pPr>
        <w:ind w:hanging="426" w:left="1560"/>
        <w:jc w:val="both"/>
        <w:rPr>
          <w:rStyle w:val="C3"/>
          <w:rFonts w:ascii="Courier New" w:hAnsi="Courier New"/>
          <w:sz w:val="24"/>
        </w:rPr>
      </w:pPr>
      <w:r>
        <w:rPr>
          <w:rStyle w:val="C3"/>
          <w:rFonts w:ascii="Courier New" w:hAnsi="Courier New"/>
          <w:b w:val="1"/>
          <w:sz w:val="24"/>
        </w:rPr>
        <w:t xml:space="preserve">c) </w:t>
      </w:r>
      <w:r>
        <w:rPr>
          <w:rStyle w:val="C3"/>
          <w:rFonts w:ascii="Courier New" w:hAnsi="Courier New"/>
          <w:sz w:val="24"/>
        </w:rPr>
        <w:t xml:space="preserve">Sólo cuando existan razones fundadas en el arte, especialidad o profesión de una persona para realizar una obra o presta un servicio o actividad determinada, se podrá contratar a un funcionario o  agente del estado Nacional, Provincial o de otro Municipio, en estos casos la contratación será ad-referéndum del Concejo Deliberante. Los contratos mencionados no tendrán principio de ejecución antes de la aprobación por parte del Concejo Deliberante.</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Licitación</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CUANDO </w:t>
      </w:r>
      <w:r>
        <w:rPr>
          <w:rStyle w:val="C3"/>
          <w:rFonts w:ascii="Courier New" w:hAnsi="Courier New"/>
          <w:sz w:val="24"/>
        </w:rPr>
        <w:t>el monto de la contratación supere el monto de PESOS CIENTO VEINTE MIL ($120.000.-),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jc w:val="both"/>
        <w:rPr>
          <w:rStyle w:val="C3"/>
          <w:rFonts w:ascii="Courier New" w:hAnsi="Courier New"/>
          <w:b w:val="1"/>
          <w:sz w:val="24"/>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...///6.-</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EL </w:t>
      </w:r>
      <w:r>
        <w:rPr>
          <w:rStyle w:val="C3"/>
          <w:rFonts w:ascii="Courier New" w:hAnsi="Courier New"/>
          <w:sz w:val="24"/>
        </w:rPr>
        <w:t>procedimiento, deberá cumplirse de tal forma que favorezca la concurrencia de la mayor cantidad de oferentes, asegure la igualdad de los mismos y la defensa de los intereses públicos.</w:t>
      </w:r>
    </w:p>
    <w:p>
      <w:pPr>
        <w:jc w:val="both"/>
        <w:rPr>
          <w:rStyle w:val="C3"/>
          <w:rFonts w:ascii="Courier New" w:hAnsi="Courier New"/>
          <w:b w:val="1"/>
          <w:sz w:val="24"/>
          <w:u w:val="single"/>
        </w:rPr>
      </w:pPr>
    </w:p>
    <w:p>
      <w:pPr>
        <w:jc w:val="center"/>
        <w:rPr>
          <w:rStyle w:val="C3"/>
          <w:rFonts w:ascii="Courier New" w:hAnsi="Courier New"/>
          <w:b w:val="1"/>
          <w:sz w:val="24"/>
          <w:u w:val="single"/>
        </w:rPr>
      </w:pPr>
      <w:r>
        <w:rPr>
          <w:rStyle w:val="C3"/>
          <w:rFonts w:ascii="Courier New" w:hAnsi="Courier New"/>
          <w:b w:val="1"/>
          <w:sz w:val="24"/>
          <w:u w:val="single"/>
        </w:rPr>
        <w:t>Pliego de Condiciones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 xml:space="preserve">: LOS </w:t>
      </w:r>
      <w:r>
        <w:rPr>
          <w:rStyle w:val="C3"/>
          <w:rFonts w:ascii="Courier New" w:hAnsi="Courier New"/>
          <w:sz w:val="24"/>
        </w:rPr>
        <w:t>Pliegos de Condiciones deberán contemplar las siguientes especificaciones:</w:t>
      </w:r>
    </w:p>
    <w:p>
      <w:pPr>
        <w:ind w:hanging="425" w:left="1134"/>
        <w:jc w:val="both"/>
        <w:rPr>
          <w:rStyle w:val="C3"/>
          <w:rFonts w:ascii="Courier New" w:hAnsi="Courier New"/>
          <w:sz w:val="24"/>
        </w:rPr>
      </w:pPr>
      <w:r>
        <w:rPr>
          <w:rStyle w:val="C3"/>
          <w:rFonts w:ascii="Courier New" w:hAnsi="Courier New"/>
          <w:b w:val="1"/>
          <w:sz w:val="24"/>
        </w:rPr>
        <w:t xml:space="preserve">a) </w:t>
      </w:r>
      <w:r>
        <w:rPr>
          <w:rStyle w:val="C3"/>
          <w:rFonts w:ascii="Courier New" w:hAnsi="Courier New"/>
          <w:b w:val="1"/>
          <w:sz w:val="24"/>
          <w:u w:val="single"/>
        </w:rPr>
        <w:t xml:space="preserve">Objeto de la Licitación: </w:t>
      </w:r>
      <w:r>
        <w:rPr>
          <w:rStyle w:val="C3"/>
          <w:rFonts w:ascii="Courier New" w:hAnsi="Courier New"/>
          <w:sz w:val="24"/>
        </w:rPr>
        <w:t xml:space="preserve">Deberá  individualizarse exactamente el objeto de la contratación, cuidando de preservar la concurrencia de la mayor cantidad de oferentes.</w:t>
      </w:r>
    </w:p>
    <w:p>
      <w:pPr>
        <w:ind w:hanging="425" w:left="1134"/>
        <w:jc w:val="both"/>
        <w:rPr>
          <w:rStyle w:val="C3"/>
          <w:rFonts w:ascii="Courier New" w:hAnsi="Courier New"/>
          <w:sz w:val="24"/>
        </w:rPr>
      </w:pPr>
      <w:r>
        <w:rPr>
          <w:rStyle w:val="C3"/>
          <w:rFonts w:ascii="Courier New" w:hAnsi="Courier New"/>
          <w:b w:val="1"/>
          <w:sz w:val="24"/>
        </w:rPr>
        <w:t xml:space="preserve">b) </w:t>
      </w:r>
      <w:r>
        <w:rPr>
          <w:rStyle w:val="C3"/>
          <w:rFonts w:ascii="Courier New" w:hAnsi="Courier New"/>
          <w:b w:val="1"/>
          <w:sz w:val="24"/>
          <w:u w:val="single"/>
        </w:rPr>
        <w:t>Características Técnicas:</w:t>
      </w:r>
      <w:r>
        <w:rPr>
          <w:rStyle w:val="C3"/>
          <w:rFonts w:ascii="Courier New" w:hAnsi="Courier New"/>
          <w:sz w:val="24"/>
        </w:rPr>
        <w:t xml:space="preserve"> Deberán contener las especificaciones técnicas del objeto a contratar, evitando referirlas a determinadas marcas o detalles que puedan sugerir parcialidad.</w:t>
      </w:r>
    </w:p>
    <w:p>
      <w:pPr>
        <w:ind w:hanging="425" w:left="1134"/>
        <w:jc w:val="both"/>
        <w:rPr>
          <w:rStyle w:val="C3"/>
          <w:rFonts w:ascii="Courier New" w:hAnsi="Courier New"/>
          <w:sz w:val="24"/>
        </w:rPr>
      </w:pPr>
      <w:r>
        <w:rPr>
          <w:rStyle w:val="C3"/>
          <w:rFonts w:ascii="Courier New" w:hAnsi="Courier New"/>
          <w:b w:val="1"/>
          <w:sz w:val="24"/>
        </w:rPr>
        <w:t xml:space="preserve">c) </w:t>
      </w:r>
      <w:r>
        <w:rPr>
          <w:rStyle w:val="C3"/>
          <w:rFonts w:ascii="Courier New" w:hAnsi="Courier New"/>
          <w:b w:val="1"/>
          <w:sz w:val="24"/>
          <w:u w:val="single"/>
        </w:rPr>
        <w:t>Cotización:</w:t>
      </w:r>
      <w:r>
        <w:rPr>
          <w:rStyle w:val="C3"/>
          <w:rFonts w:ascii="Courier New" w:hAnsi="Courier New"/>
          <w:sz w:val="24"/>
        </w:rPr>
        <w:t xml:space="preserve"> Deberán preverse concreta y específicamente cada uno de los aspectos de las distintas alternativas de pagos. Deberán solicitarse cotizaciones por cada una de las partes componentes del objeto de la contratación, debiendo indicarse en este caso si esto es al efecto del  estudio de las propuestas o para efectuar adjudicaciones parciales.</w:t>
      </w:r>
    </w:p>
    <w:p>
      <w:pPr>
        <w:ind w:hanging="425" w:left="1134"/>
        <w:jc w:val="both"/>
        <w:rPr>
          <w:rStyle w:val="C3"/>
          <w:rFonts w:ascii="Courier New" w:hAnsi="Courier New"/>
          <w:sz w:val="24"/>
        </w:rPr>
      </w:pPr>
      <w:r>
        <w:rPr>
          <w:rStyle w:val="C3"/>
          <w:rFonts w:ascii="Courier New" w:hAnsi="Courier New"/>
          <w:b w:val="1"/>
          <w:sz w:val="24"/>
        </w:rPr>
        <w:t xml:space="preserve">d) </w:t>
      </w:r>
      <w:r>
        <w:rPr>
          <w:rStyle w:val="C3"/>
          <w:rFonts w:ascii="Courier New" w:hAnsi="Courier New"/>
          <w:b w:val="1"/>
          <w:sz w:val="24"/>
          <w:u w:val="single"/>
        </w:rPr>
        <w:t>Presupuesto Oficial:</w:t>
      </w:r>
      <w:r>
        <w:rPr>
          <w:rStyle w:val="C3"/>
          <w:rFonts w:ascii="Courier New" w:hAnsi="Courier New"/>
          <w:sz w:val="24"/>
        </w:rPr>
        <w:t xml:space="preserve"> Se estimará el presupuesto oficial de la contratación expresándose el monto del mismo.</w:t>
      </w:r>
    </w:p>
    <w:p>
      <w:pPr>
        <w:ind w:hanging="425" w:left="1134"/>
        <w:jc w:val="both"/>
        <w:rPr>
          <w:rStyle w:val="C3"/>
          <w:rFonts w:ascii="Courier New" w:hAnsi="Courier New"/>
          <w:sz w:val="24"/>
        </w:rPr>
      </w:pPr>
      <w:r>
        <w:rPr>
          <w:rStyle w:val="C3"/>
          <w:rFonts w:ascii="Courier New" w:hAnsi="Courier New"/>
          <w:b w:val="1"/>
          <w:sz w:val="24"/>
        </w:rPr>
        <w:t xml:space="preserve">e)  </w:t>
      </w:r>
      <w:r>
        <w:rPr>
          <w:rStyle w:val="C3"/>
          <w:rFonts w:ascii="Courier New" w:hAnsi="Courier New"/>
          <w:b w:val="1"/>
          <w:sz w:val="24"/>
          <w:u w:val="single"/>
        </w:rPr>
        <w:t>Garantía de la Propuesta:</w:t>
      </w:r>
      <w:r>
        <w:rPr>
          <w:rStyle w:val="C3"/>
          <w:rFonts w:ascii="Courier New" w:hAnsi="Courier New"/>
          <w:sz w:val="24"/>
        </w:rPr>
        <w:t xml:space="preserve"> Deberá constituirse conforme a las modalidades que se preverán y su importe resultará de aplicación del porcentaje que sobre el monto del presupuesto oficial se determine en el Pliego Particular respectivo.</w:t>
      </w:r>
    </w:p>
    <w:p>
      <w:pPr>
        <w:ind w:hanging="425" w:left="1134"/>
        <w:jc w:val="both"/>
        <w:rPr>
          <w:rStyle w:val="C3"/>
          <w:rFonts w:ascii="Courier New" w:hAnsi="Courier New"/>
          <w:sz w:val="24"/>
        </w:rPr>
      </w:pPr>
      <w:r>
        <w:rPr>
          <w:rStyle w:val="C3"/>
          <w:rFonts w:ascii="Courier New" w:hAnsi="Courier New"/>
          <w:b w:val="1"/>
          <w:sz w:val="24"/>
        </w:rPr>
        <w:t xml:space="preserve">f)  </w:t>
      </w:r>
      <w:r>
        <w:rPr>
          <w:rStyle w:val="C3"/>
          <w:rFonts w:ascii="Courier New" w:hAnsi="Courier New"/>
          <w:b w:val="1"/>
          <w:sz w:val="24"/>
          <w:u w:val="single"/>
        </w:rPr>
        <w:t>Garantía de Contrato y Garantía de Funcionamiento:</w:t>
      </w:r>
      <w:r>
        <w:rPr>
          <w:rStyle w:val="C3"/>
          <w:rFonts w:ascii="Courier New" w:hAnsi="Courier New"/>
          <w:sz w:val="24"/>
        </w:rPr>
        <w:t xml:space="preserve"> Las características del objeto de la contratación determinarán el tipo y el término de las mismas.</w:t>
      </w:r>
    </w:p>
    <w:p>
      <w:pPr>
        <w:ind w:hanging="425" w:left="1134"/>
        <w:jc w:val="both"/>
        <w:rPr>
          <w:rStyle w:val="C3"/>
          <w:rFonts w:ascii="Courier New" w:hAnsi="Courier New"/>
          <w:sz w:val="24"/>
        </w:rPr>
      </w:pPr>
      <w:r>
        <w:rPr>
          <w:rStyle w:val="C3"/>
          <w:rFonts w:ascii="Courier New" w:hAnsi="Courier New"/>
          <w:b w:val="1"/>
          <w:sz w:val="24"/>
        </w:rPr>
        <w:t xml:space="preserve">g) </w:t>
      </w:r>
      <w:r>
        <w:rPr>
          <w:rStyle w:val="C3"/>
          <w:rFonts w:ascii="Courier New" w:hAnsi="Courier New"/>
          <w:b w:val="1"/>
          <w:sz w:val="24"/>
          <w:u w:val="single"/>
        </w:rPr>
        <w:t>Pérdida de la Garantía de la Propuesta:</w:t>
      </w:r>
      <w:r>
        <w:rPr>
          <w:rStyle w:val="C3"/>
          <w:rFonts w:ascii="Courier New" w:hAnsi="Courier New"/>
          <w:sz w:val="24"/>
        </w:rPr>
        <w:t xml:space="preserve"> El  desistimiento  de la oferta antes del vencimiento del plazo de validez, la no-integración de la Garantía del Contrato, o la falta de firma del Contrato respectivo cuando correspondiere acarreará la pérdida de la Garantía.</w:t>
      </w:r>
    </w:p>
    <w:p>
      <w:pPr>
        <w:ind w:hanging="425" w:left="1134"/>
        <w:jc w:val="right"/>
        <w:rPr>
          <w:rStyle w:val="C3"/>
          <w:rFonts w:ascii="Courier New" w:hAnsi="Courier New"/>
          <w:sz w:val="24"/>
        </w:rPr>
      </w:pPr>
      <w:r>
        <w:rPr>
          <w:rStyle w:val="C3"/>
          <w:rFonts w:ascii="Courier New" w:hAnsi="Courier New"/>
          <w:sz w:val="24"/>
        </w:rPr>
        <w:t>...///</w:t>
      </w:r>
    </w:p>
    <w:p>
      <w:pPr>
        <w:ind w:hanging="425" w:left="1134"/>
        <w:jc w:val="both"/>
        <w:rPr>
          <w:rStyle w:val="C3"/>
          <w:rFonts w:ascii="Courier New" w:hAnsi="Courier New"/>
          <w:b w:val="1"/>
          <w:sz w:val="24"/>
        </w:rPr>
      </w:pPr>
    </w:p>
    <w:p>
      <w:pPr>
        <w:ind w:hanging="425" w:left="1134"/>
        <w:jc w:val="both"/>
        <w:rPr>
          <w:rStyle w:val="C3"/>
          <w:rFonts w:ascii="Courier New" w:hAnsi="Courier New"/>
          <w:b w:val="1"/>
          <w:sz w:val="24"/>
        </w:rPr>
      </w:pPr>
    </w:p>
    <w:p>
      <w:pPr>
        <w:ind w:hanging="425" w:left="1134"/>
        <w:jc w:val="both"/>
        <w:rPr>
          <w:rStyle w:val="C3"/>
          <w:rFonts w:ascii="Courier New" w:hAnsi="Courier New"/>
          <w:b w:val="1"/>
          <w:sz w:val="24"/>
        </w:rPr>
      </w:pPr>
    </w:p>
    <w:p>
      <w:pPr>
        <w:ind w:hanging="425" w:left="1134"/>
        <w:jc w:val="both"/>
        <w:rPr>
          <w:rStyle w:val="C3"/>
          <w:rFonts w:ascii="Courier New" w:hAnsi="Courier New"/>
          <w:b w:val="1"/>
          <w:sz w:val="24"/>
        </w:rPr>
      </w:pPr>
    </w:p>
    <w:p>
      <w:pPr>
        <w:ind w:hanging="425" w:left="1134"/>
        <w:jc w:val="both"/>
        <w:rPr>
          <w:rStyle w:val="C3"/>
          <w:rFonts w:ascii="Courier New" w:hAnsi="Courier New"/>
          <w:b w:val="1"/>
          <w:sz w:val="24"/>
        </w:rPr>
      </w:pPr>
    </w:p>
    <w:p>
      <w:pPr>
        <w:ind w:hanging="425" w:left="1134"/>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sz w:val="24"/>
        </w:rPr>
        <w:t>...///7.-</w:t>
      </w:r>
    </w:p>
    <w:p>
      <w:pPr>
        <w:ind w:hanging="425" w:left="1134"/>
        <w:jc w:val="both"/>
        <w:rPr>
          <w:rStyle w:val="C3"/>
          <w:rFonts w:ascii="Courier New" w:hAnsi="Courier New"/>
          <w:b w:val="1"/>
          <w:sz w:val="24"/>
        </w:rPr>
      </w:pPr>
    </w:p>
    <w:p>
      <w:pPr>
        <w:ind w:hanging="425" w:left="1134"/>
        <w:jc w:val="both"/>
        <w:rPr>
          <w:rStyle w:val="C3"/>
          <w:rFonts w:ascii="Courier New" w:hAnsi="Courier New"/>
          <w:sz w:val="24"/>
        </w:rPr>
      </w:pPr>
      <w:r>
        <w:rPr>
          <w:rStyle w:val="C3"/>
          <w:rFonts w:ascii="Courier New" w:hAnsi="Courier New"/>
          <w:b w:val="1"/>
          <w:sz w:val="24"/>
        </w:rPr>
        <w:t xml:space="preserve">h) </w:t>
      </w:r>
      <w:r>
        <w:rPr>
          <w:rStyle w:val="C3"/>
          <w:rFonts w:ascii="Courier New" w:hAnsi="Courier New"/>
          <w:b w:val="1"/>
          <w:sz w:val="24"/>
          <w:u w:val="single"/>
        </w:rPr>
        <w:t>Pérdida de la Garantía del Contrato:</w:t>
      </w:r>
      <w:r>
        <w:rPr>
          <w:rStyle w:val="C3"/>
          <w:rFonts w:ascii="Courier New" w:hAnsi="Courier New"/>
          <w:sz w:val="24"/>
        </w:rPr>
        <w:t xml:space="preserve"> El incumplimiento de cualquiera de las obligaciones contractuales importará la pérdida de la garantía del contrato, si ésta se hubiera previsto. Caso contrario se afectará la garantía de la propuesta.</w:t>
      </w:r>
    </w:p>
    <w:p>
      <w:pPr>
        <w:ind w:hanging="425" w:left="1134"/>
        <w:jc w:val="both"/>
        <w:rPr>
          <w:rStyle w:val="C3"/>
          <w:rFonts w:ascii="Courier New" w:hAnsi="Courier New"/>
          <w:sz w:val="24"/>
        </w:rPr>
      </w:pPr>
      <w:r>
        <w:rPr>
          <w:rStyle w:val="C3"/>
          <w:rFonts w:ascii="Courier New" w:hAnsi="Courier New"/>
          <w:b w:val="1"/>
          <w:sz w:val="24"/>
        </w:rPr>
        <w:t xml:space="preserve">i) </w:t>
      </w:r>
      <w:r>
        <w:rPr>
          <w:rStyle w:val="C3"/>
          <w:rFonts w:ascii="Courier New" w:hAnsi="Courier New"/>
          <w:b w:val="1"/>
          <w:sz w:val="24"/>
          <w:u w:val="single"/>
        </w:rPr>
        <w:t>Mantenimiento de la Oferta:</w:t>
      </w:r>
      <w:r>
        <w:rPr>
          <w:rStyle w:val="C3"/>
          <w:rFonts w:ascii="Courier New" w:hAnsi="Courier New"/>
          <w:sz w:val="24"/>
        </w:rPr>
        <w:t xml:space="preserve"> Deberá determinarse el tiempo durante el cual el oferente se obliga a mantener su oferta. Todo plazo menor fijado por el proponente se tendrá por no escrito.</w:t>
      </w:r>
    </w:p>
    <w:p>
      <w:pPr>
        <w:ind w:hanging="425" w:left="1134"/>
        <w:jc w:val="both"/>
        <w:rPr>
          <w:rStyle w:val="C3"/>
          <w:rFonts w:ascii="Courier New" w:hAnsi="Courier New"/>
          <w:sz w:val="24"/>
        </w:rPr>
      </w:pPr>
      <w:r>
        <w:rPr>
          <w:rStyle w:val="C3"/>
          <w:rFonts w:ascii="Courier New" w:hAnsi="Courier New"/>
          <w:b w:val="1"/>
          <w:sz w:val="24"/>
        </w:rPr>
        <w:t xml:space="preserve">j) </w:t>
      </w:r>
      <w:r>
        <w:rPr>
          <w:rStyle w:val="C3"/>
          <w:rFonts w:ascii="Courier New" w:hAnsi="Courier New"/>
          <w:b w:val="1"/>
          <w:sz w:val="24"/>
          <w:u w:val="single"/>
        </w:rPr>
        <w:t>Plazo de Cumplimiento</w:t>
      </w:r>
      <w:r>
        <w:rPr>
          <w:rStyle w:val="C3"/>
          <w:rFonts w:ascii="Courier New" w:hAnsi="Courier New"/>
          <w:b w:val="1"/>
          <w:sz w:val="24"/>
        </w:rPr>
        <w:t xml:space="preserve">: </w:t>
      </w:r>
      <w:r>
        <w:rPr>
          <w:rStyle w:val="C3"/>
          <w:rFonts w:ascii="Courier New" w:hAnsi="Courier New"/>
          <w:sz w:val="24"/>
        </w:rPr>
        <w:t xml:space="preserve">Deberá señalarse el plazo dentro del cual debe hacerse efectivo   el cumplimiento del contrato.</w:t>
      </w:r>
    </w:p>
    <w:p>
      <w:pPr>
        <w:ind w:hanging="425" w:left="1134"/>
        <w:jc w:val="both"/>
        <w:rPr>
          <w:rStyle w:val="C3"/>
          <w:rFonts w:ascii="Courier New" w:hAnsi="Courier New"/>
          <w:sz w:val="24"/>
        </w:rPr>
      </w:pPr>
      <w:r>
        <w:rPr>
          <w:rStyle w:val="C3"/>
          <w:rFonts w:ascii="Courier New" w:hAnsi="Courier New"/>
          <w:b w:val="1"/>
          <w:sz w:val="24"/>
        </w:rPr>
        <w:t xml:space="preserve">k) </w:t>
      </w:r>
      <w:r>
        <w:rPr>
          <w:rStyle w:val="C3"/>
          <w:rFonts w:ascii="Courier New" w:hAnsi="Courier New"/>
          <w:b w:val="1"/>
          <w:sz w:val="24"/>
          <w:u w:val="single"/>
        </w:rPr>
        <w:t>Presentación de la Propuesta:</w:t>
      </w:r>
      <w:r>
        <w:rPr>
          <w:rStyle w:val="C3"/>
          <w:rFonts w:ascii="Courier New" w:hAnsi="Courier New"/>
          <w:sz w:val="24"/>
          <w:u w:val="single"/>
        </w:rPr>
        <w:t xml:space="preserve"> </w:t>
      </w:r>
      <w:r>
        <w:rPr>
          <w:rStyle w:val="C3"/>
          <w:rFonts w:ascii="Courier New" w:hAnsi="Courier New"/>
          <w:sz w:val="24"/>
        </w:rPr>
        <w:t>Las propuestas serán presentadas en dos (2) sobres, ante la repartición Municipal que indique el Departamento Ejecutivo, sin membrete comercial, cerrados y lacrados, los que se denominarán "Sobre Presentación" y "Sobre Propuesta".</w:t>
      </w:r>
    </w:p>
    <w:p>
      <w:pPr>
        <w:jc w:val="both"/>
        <w:rPr>
          <w:rStyle w:val="C3"/>
          <w:rFonts w:ascii="Courier New" w:hAnsi="Courier New"/>
          <w:b w:val="1"/>
          <w:sz w:val="24"/>
        </w:rPr>
      </w:pPr>
    </w:p>
    <w:p>
      <w:pPr>
        <w:rPr>
          <w:rStyle w:val="C3"/>
          <w:rFonts w:ascii="Courier New" w:hAnsi="Courier New"/>
          <w:b w:val="1"/>
          <w:sz w:val="24"/>
          <w:u w:val="single"/>
        </w:rPr>
      </w:pPr>
      <w:r>
        <w:rPr>
          <w:rStyle w:val="C3"/>
          <w:rFonts w:ascii="Courier New" w:hAnsi="Courier New"/>
          <w:b w:val="1"/>
          <w:sz w:val="24"/>
          <w:u w:val="single"/>
        </w:rPr>
        <w:t xml:space="preserve">El Sobre  Presentación contendrá:</w:t>
      </w:r>
    </w:p>
    <w:p>
      <w:pPr>
        <w:jc w:val="both"/>
        <w:rPr>
          <w:rStyle w:val="C3"/>
          <w:rFonts w:ascii="Courier New" w:hAnsi="Courier New"/>
          <w:b w:val="1"/>
          <w:sz w:val="24"/>
        </w:rPr>
      </w:pPr>
    </w:p>
    <w:p>
      <w:pPr>
        <w:ind w:hanging="425" w:left="1134"/>
        <w:jc w:val="both"/>
        <w:rPr>
          <w:rStyle w:val="C3"/>
          <w:rFonts w:ascii="Courier New" w:hAnsi="Courier New"/>
          <w:sz w:val="24"/>
        </w:rPr>
      </w:pPr>
      <w:r>
        <w:rPr>
          <w:rStyle w:val="C3"/>
          <w:rFonts w:ascii="Courier New" w:hAnsi="Courier New"/>
          <w:sz w:val="24"/>
        </w:rPr>
        <w:t>1) Comprobante de la garantía exigida por el Pliego.</w:t>
      </w:r>
    </w:p>
    <w:p>
      <w:pPr>
        <w:ind w:hanging="425" w:left="1134"/>
        <w:jc w:val="both"/>
        <w:rPr>
          <w:rStyle w:val="C3"/>
          <w:rFonts w:ascii="Courier New" w:hAnsi="Courier New"/>
          <w:sz w:val="24"/>
        </w:rPr>
      </w:pPr>
      <w:r>
        <w:rPr>
          <w:rStyle w:val="C3"/>
          <w:rFonts w:ascii="Courier New" w:hAnsi="Courier New"/>
          <w:sz w:val="24"/>
        </w:rPr>
        <w:t>2) Comprobante de la adquisición del Pliego de Bases y Condiciones de la Licitación.</w:t>
      </w:r>
    </w:p>
    <w:p>
      <w:pPr>
        <w:ind w:hanging="425" w:left="1134"/>
        <w:jc w:val="both"/>
        <w:rPr>
          <w:rStyle w:val="C3"/>
          <w:rFonts w:ascii="Courier New" w:hAnsi="Courier New"/>
          <w:sz w:val="24"/>
        </w:rPr>
      </w:pPr>
      <w:r>
        <w:rPr>
          <w:rStyle w:val="C3"/>
          <w:rFonts w:ascii="Courier New" w:hAnsi="Courier New"/>
          <w:sz w:val="24"/>
        </w:rPr>
        <w:t>3) Constancias de deudas Municipales.</w:t>
      </w:r>
    </w:p>
    <w:p>
      <w:pPr>
        <w:ind w:hanging="425" w:left="1134"/>
        <w:jc w:val="both"/>
        <w:rPr>
          <w:rStyle w:val="C3"/>
          <w:rFonts w:ascii="Courier New" w:hAnsi="Courier New"/>
          <w:sz w:val="24"/>
        </w:rPr>
      </w:pPr>
      <w:r>
        <w:rPr>
          <w:rStyle w:val="C3"/>
          <w:rFonts w:ascii="Courier New" w:hAnsi="Courier New"/>
          <w:sz w:val="24"/>
        </w:rPr>
        <w:t>4) El sellado municipal y toda otra documentación que se solicite en el Pliego Particular respectivo.</w:t>
      </w: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El Sobre Propuesta contendrá:</w:t>
      </w:r>
    </w:p>
    <w:p>
      <w:pPr>
        <w:jc w:val="both"/>
        <w:rPr>
          <w:rStyle w:val="C3"/>
          <w:rFonts w:ascii="Courier New" w:hAnsi="Courier New"/>
          <w:b w:val="1"/>
          <w:sz w:val="24"/>
          <w:u w:val="single"/>
        </w:rPr>
      </w:pPr>
    </w:p>
    <w:p>
      <w:pPr>
        <w:ind w:left="709"/>
        <w:jc w:val="both"/>
        <w:rPr>
          <w:rStyle w:val="C3"/>
          <w:rFonts w:ascii="Courier New" w:hAnsi="Courier New"/>
          <w:sz w:val="24"/>
        </w:rPr>
      </w:pPr>
      <w:r>
        <w:rPr>
          <w:rStyle w:val="C3"/>
          <w:rFonts w:ascii="Courier New" w:hAnsi="Courier New"/>
          <w:sz w:val="24"/>
        </w:rPr>
        <w:t>La oferta por duplicado y la garantía técnica o de servicio, cuando correspondiere.</w:t>
      </w:r>
    </w:p>
    <w:p>
      <w:pPr>
        <w:ind w:left="709"/>
        <w:jc w:val="both"/>
        <w:rPr>
          <w:rStyle w:val="C3"/>
          <w:rFonts w:ascii="Courier New" w:hAnsi="Courier New"/>
          <w:sz w:val="24"/>
        </w:rPr>
      </w:pPr>
      <w:r>
        <w:rPr>
          <w:rStyle w:val="C3"/>
          <w:rFonts w:ascii="Courier New" w:hAnsi="Courier New"/>
          <w:sz w:val="24"/>
        </w:rPr>
        <w:t>Las presentaciones que no llenen la totalidad de los requisitos establecidos, serán agregadas como simple constancia de presentación, y los Sobres Propuestas serán devueltos en el acto sin abrir. Desde ese momento dichas propuestas quedarán automáticamente eliminadas de la Licitación.</w:t>
      </w:r>
    </w:p>
    <w:p>
      <w:pPr>
        <w:pStyle w:val="P1"/>
        <w:rPr>
          <w:rStyle w:val="C3"/>
          <w:rFonts w:ascii="Courier New" w:hAnsi="Courier New"/>
        </w:rPr>
      </w:pPr>
    </w:p>
    <w:p>
      <w:pPr>
        <w:jc w:val="right"/>
        <w:rPr>
          <w:rStyle w:val="C3"/>
          <w:rFonts w:ascii="Courier New" w:hAnsi="Courier New"/>
          <w:sz w:val="24"/>
        </w:rPr>
      </w:pPr>
      <w:r>
        <w:rPr>
          <w:rStyle w:val="C3"/>
          <w:rFonts w:ascii="Courier New" w:hAnsi="Courier New"/>
          <w:sz w:val="24"/>
        </w:rPr>
        <w:t>...///</w:t>
      </w: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...///8.-</w:t>
      </w:r>
    </w:p>
    <w:p>
      <w:pPr>
        <w:rPr>
          <w:rStyle w:val="C3"/>
        </w:rPr>
      </w:pPr>
    </w:p>
    <w:p>
      <w:pPr>
        <w:pStyle w:val="P1"/>
        <w:rPr>
          <w:rStyle w:val="C3"/>
          <w:rFonts w:ascii="Courier New" w:hAnsi="Courier New"/>
        </w:rPr>
      </w:pPr>
      <w:r>
        <w:rPr>
          <w:rStyle w:val="C3"/>
          <w:rFonts w:ascii="Courier New" w:hAnsi="Courier New"/>
        </w:rPr>
        <w:t>De las Propuestas y Adjudicación</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EN</w:t>
      </w:r>
      <w:r>
        <w:rPr>
          <w:rStyle w:val="C3"/>
          <w:rFonts w:ascii="Courier New" w:hAnsi="Courier New"/>
          <w:sz w:val="24"/>
        </w:rPr>
        <w:t xml:space="preserve"> el lugar, día y hora establecidos mediante Decreto, el Departamento Ejecutivo procederá a abrir las propuestas en presencia de los interesados que concurran al acto. Después de leídas las mismas se labrará acta donde consten los precios de las cotizaciones  de cada una de las propuestas, como así también las observaciones que crean conveniente formular los presentes.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b w:val="1"/>
          <w:sz w:val="24"/>
        </w:rPr>
        <w:t>: EN</w:t>
      </w:r>
      <w:r>
        <w:rPr>
          <w:rStyle w:val="C3"/>
          <w:rFonts w:ascii="Courier New" w:hAnsi="Courier New"/>
          <w:sz w:val="24"/>
        </w:rPr>
        <w:t xml:space="preserve"> el caso de enajenación, el Departamento Ejecutivo elevará dentro de los cinco (5) días de la fecha de apertura de sobres, un estudio comparativo de las propuestas presentadas al Honorable Concejo Deliberante para su conocimiento, emitiendo opinión acerca de la que resulte conveniente. Este informe constituirá la base para el dictado del correspondiente Decreto de Adjudicación o aprobación de la subasta.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b w:val="1"/>
          <w:sz w:val="24"/>
        </w:rPr>
        <w:t>: CUANDO</w:t>
      </w:r>
      <w:r>
        <w:rPr>
          <w:rStyle w:val="C3"/>
          <w:rFonts w:ascii="Courier New" w:hAnsi="Courier New"/>
          <w:sz w:val="24"/>
        </w:rPr>
        <w:t xml:space="preserve"> no se hubieran presentado proponentes, la Licitación se declarará desierta mediante Decreto del Departamento Ejecutivo. En caso de que las ofertas no se ajusten al Pliego de Condiciones o modifiquen las bases establecidas, y no se hubiere aplicado el principio general dispuesto en el Artículo 12 - último párrafo -, se declararán inadmisibles las mismas, por acto emitido por Autoridad competente, para resolver sobre la adjudicación. En ambos casos el efecto jurídico será el mismo y podrá procederse por Decreto del Departamento Ejecutivo a un llamado con la misma Ordenanza y Pliego.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LA</w:t>
      </w:r>
      <w:r>
        <w:rPr>
          <w:rStyle w:val="C3"/>
          <w:rFonts w:ascii="Courier New" w:hAnsi="Courier New"/>
          <w:sz w:val="24"/>
        </w:rPr>
        <w:t xml:space="preserve"> Autoridad competente para resolver la adjudicación podrá desestimar las propuestas y rechazarlas a todas, sin que ello de derecho a reclamo alguno, debiendo recabar para ello la decisión fundada del Departamento Ejecutivo.</w:t>
      </w:r>
    </w:p>
    <w:p>
      <w:pPr>
        <w:jc w:val="both"/>
        <w:rPr>
          <w:rStyle w:val="C3"/>
          <w:rFonts w:ascii="Courier New" w:hAnsi="Courier New"/>
          <w:sz w:val="24"/>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...///9.-</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b w:val="1"/>
          <w:sz w:val="24"/>
        </w:rPr>
        <w:t>: LA</w:t>
      </w:r>
      <w:r>
        <w:rPr>
          <w:rStyle w:val="C3"/>
          <w:rFonts w:ascii="Courier New" w:hAnsi="Courier New"/>
          <w:sz w:val="24"/>
        </w:rPr>
        <w:t xml:space="preserve"> adjudicación recaerá sobre la propuesta que a juicio de la Autoridad competente sea la más ventajosa entre aquellas que se ajusten en un todo a las bases y condiciones establecidas para la Licitación. Entiéndase por Propuesta más ventajosa o conveniente a aquella que ajustada a las bases de la contratación y presentando equiparación y atributos técnicos similares entre ellas sea la de más bajo precio. La Autoridad competente podrá decidir frente a la propuesta más conveniente sobre otra que habiendo cumplimentado los requisitos del Pliego y demás especificaciones del llamado, ofrezca mayores atributos técnicos, siempre que no exceda el diez por ciento (10%) del precio de la mencionada anteriormente. Igual criterio será de aplicación cuando se trate de contrataciones de Servicios Personales con relación a los antecedentes personales, comerciales o profesionales de los proponentes.</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Remate Público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Art.18</w:t>
      </w:r>
      <w:r>
        <w:rPr>
          <w:rStyle w:val="C3"/>
          <w:rFonts w:ascii="Courier New" w:hAnsi="Courier New"/>
          <w:b w:val="1"/>
          <w:sz w:val="24"/>
        </w:rPr>
        <w:t>: EL</w:t>
      </w:r>
      <w:r>
        <w:rPr>
          <w:rStyle w:val="C3"/>
          <w:rFonts w:ascii="Courier New" w:hAnsi="Courier New"/>
          <w:sz w:val="24"/>
        </w:rPr>
        <w:t xml:space="preserve"> remate público será dispuesto mediante Ordenanza y realizado en la forma y condiciones que se determinan en los Artículos siguientes.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b w:val="1"/>
          <w:sz w:val="24"/>
        </w:rPr>
        <w:t>: ANTES</w:t>
      </w:r>
      <w:r>
        <w:rPr>
          <w:rStyle w:val="C3"/>
          <w:rFonts w:ascii="Courier New" w:hAnsi="Courier New"/>
          <w:sz w:val="24"/>
        </w:rPr>
        <w:t xml:space="preserve">  del remate, los bienes deberán ser valuados por el Consejo de Tasaciones de la Provincia cuando se trate de inmuebles y por Peritos o Funcionarios Municipales, cuando sean bienes muebles. La valuación establecida será la base del remate y no podrá adjudicarse venta alguna que no alcance a este monto. En casos especiales la intervención del Consejo de Tasaciones de la Provincia, podrá ser reemplazado por una Comisión Especial de Tasaciones que integrarán: Un (1) representante del Departamento Ejecutivo, otro del Honorable Concejo Deliberante y uno (1) del Tribunal de Cuentas.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Art.20</w:t>
      </w:r>
      <w:r>
        <w:rPr>
          <w:rStyle w:val="C3"/>
          <w:rFonts w:ascii="Courier New" w:hAnsi="Courier New"/>
          <w:b w:val="1"/>
          <w:sz w:val="24"/>
        </w:rPr>
        <w:t>: EL</w:t>
      </w:r>
      <w:r>
        <w:rPr>
          <w:rStyle w:val="C3"/>
          <w:rFonts w:ascii="Courier New" w:hAnsi="Courier New"/>
          <w:sz w:val="24"/>
        </w:rPr>
        <w:t xml:space="preserve">  lugar, día y hora del remate, forma de pago, descripción de los bienes, lugar donde pueden ser revisados y demás condiciones de la contratación, serán establecidos en la Ordenanza respectiva.</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...///10.-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Art.21</w:t>
      </w:r>
      <w:r>
        <w:rPr>
          <w:rStyle w:val="C3"/>
          <w:rFonts w:ascii="Courier New" w:hAnsi="Courier New"/>
          <w:b w:val="1"/>
          <w:sz w:val="24"/>
        </w:rPr>
        <w:t>: LA</w:t>
      </w:r>
      <w:r>
        <w:rPr>
          <w:rStyle w:val="C3"/>
          <w:rFonts w:ascii="Courier New" w:hAnsi="Courier New"/>
          <w:sz w:val="24"/>
        </w:rPr>
        <w:t xml:space="preserve"> publicidad consignando los datos anteriormente señalados se efectuará de conformidad a las disposiciones de los Artículos 30 y 31 de la presente Ordenanza. Asimismo los anuncios del remate deberán insertarse en los lugares de acceso público.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Art.22</w:t>
      </w:r>
      <w:r>
        <w:rPr>
          <w:rStyle w:val="C3"/>
          <w:rFonts w:ascii="Courier New" w:hAnsi="Courier New"/>
          <w:b w:val="1"/>
          <w:sz w:val="24"/>
        </w:rPr>
        <w:t>: EN</w:t>
      </w:r>
      <w:r>
        <w:rPr>
          <w:rStyle w:val="C3"/>
          <w:rFonts w:ascii="Courier New" w:hAnsi="Courier New"/>
          <w:sz w:val="24"/>
        </w:rPr>
        <w:t xml:space="preserve"> el lugar, día y hora establecidos, el rematador designado dará comienzo al acto leyendo en presencia del público asistente y del Funcionario Municipal actuante, la relación de los bienes y condiciones de la subasta. Las posturas que se realicen se señalarán sucesivamente y resultará preadjudicada aquella que no fuera mejorada en un espacio de tiempo de dos (2) minutos.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Art.23</w:t>
      </w:r>
      <w:r>
        <w:rPr>
          <w:rStyle w:val="C3"/>
          <w:rFonts w:ascii="Courier New" w:hAnsi="Courier New"/>
          <w:b w:val="1"/>
          <w:sz w:val="24"/>
        </w:rPr>
        <w:t>: EN</w:t>
      </w:r>
      <w:r>
        <w:rPr>
          <w:rStyle w:val="C3"/>
          <w:rFonts w:ascii="Courier New" w:hAnsi="Courier New"/>
          <w:sz w:val="24"/>
        </w:rPr>
        <w:t xml:space="preserve"> la oportunidad señalada en el Artículo anterior, deberá abonarse el treinta por ciento (30%) del importe total de la subasta y el saldo se hará efectivo previo al retiro de los elementos sin prejuicio que cláusulas particulares prevean pagos y retiros parciales.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Art.24</w:t>
      </w:r>
      <w:r>
        <w:rPr>
          <w:rStyle w:val="C3"/>
          <w:rFonts w:ascii="Courier New" w:hAnsi="Courier New"/>
          <w:b w:val="1"/>
          <w:sz w:val="24"/>
        </w:rPr>
        <w:t>: TODO</w:t>
      </w:r>
      <w:r>
        <w:rPr>
          <w:rStyle w:val="C3"/>
          <w:rFonts w:ascii="Courier New" w:hAnsi="Courier New"/>
          <w:sz w:val="24"/>
        </w:rPr>
        <w:t xml:space="preserve"> lo actuado se hará constar en acta labrada por el Funcionario Municipal actuante y suscripta por el rematador, los últimos postores y demás asistentes que quisieran hacerlo. Deberá dejarse constancia en la referida acta del domicilio que deje constituido el último postor (ganador de la puja) a todos los efectos del remate.</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Art.25</w:t>
      </w:r>
      <w:r>
        <w:rPr>
          <w:rStyle w:val="C3"/>
          <w:rFonts w:ascii="Courier New" w:hAnsi="Courier New"/>
          <w:b w:val="1"/>
          <w:sz w:val="24"/>
        </w:rPr>
        <w:t>: VERIFICADO</w:t>
      </w:r>
      <w:r>
        <w:rPr>
          <w:rStyle w:val="C3"/>
          <w:rFonts w:ascii="Courier New" w:hAnsi="Courier New"/>
          <w:sz w:val="24"/>
        </w:rPr>
        <w:t xml:space="preserve"> el remate se elevarán todos los antecedentes al titular del Departamento Ejecutivo quien para resolver sobre lo actuado deberá ajustarse a lo dispuesto en el Artículo 11 de la presente Ordenanza, dictando el Decreto de aprobación de la Subasta y en un término que no deberá exceder de quince (15) días contados a partir de la fecha del remate.</w:t>
      </w:r>
    </w:p>
    <w:p>
      <w:pPr>
        <w:jc w:val="both"/>
        <w:rPr>
          <w:rStyle w:val="C3"/>
          <w:rFonts w:ascii="Courier New" w:hAnsi="Courier New"/>
          <w:sz w:val="24"/>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...///11.-</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Art.26</w:t>
      </w:r>
      <w:r>
        <w:rPr>
          <w:rStyle w:val="C3"/>
          <w:rFonts w:ascii="Courier New" w:hAnsi="Courier New"/>
          <w:b w:val="1"/>
          <w:sz w:val="24"/>
        </w:rPr>
        <w:t>: UNA</w:t>
      </w:r>
      <w:r>
        <w:rPr>
          <w:rStyle w:val="C3"/>
          <w:rFonts w:ascii="Courier New" w:hAnsi="Courier New"/>
          <w:sz w:val="24"/>
        </w:rPr>
        <w:t xml:space="preserve"> vez perfeccionada la contratación en los términos del Artículo anterior, si el adquirente no retirase los objetos comprados en el plazo establecido, deberá abonar en concepto de depósito, por cada día de demora el importe que establezca el Pliego Particular de Condiciones, el que en ningún caso podrá superar el uno por ciento (1%) diario del precio de la adquisición y hasta un máximo de treinta (30) días. Vencido este término el contrato se considerará rescindido por culpa del adquirente quien perderá el importe abonado en concepto de seña a que se refiere el Artículo 23 pudiendo la Municipalidad enajenar los bienes.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Art.27</w:t>
      </w:r>
      <w:r>
        <w:rPr>
          <w:rStyle w:val="C3"/>
          <w:rFonts w:ascii="Courier New" w:hAnsi="Courier New"/>
          <w:b w:val="1"/>
          <w:sz w:val="24"/>
        </w:rPr>
        <w:t>: CUANDO</w:t>
      </w:r>
      <w:r>
        <w:rPr>
          <w:rStyle w:val="C3"/>
          <w:rFonts w:ascii="Courier New" w:hAnsi="Courier New"/>
          <w:sz w:val="24"/>
        </w:rPr>
        <w:t xml:space="preserve"> la Municipalidad deba adquirir bienes mediante este procedimiento deberá determinar previamente el precio máximo a pagar por los mismos. Dicha determinación podrá efectuarse por Decreto cuando el importe no exceda el límite fijado por el Artículo 35, inc. 1) e inc. 2), para las contrataciones en forma directa, o límite fijado en el Artículo 28 para contrataciones por Concurso Público de Precios. Cuando excediera estos límites deberá ser fijado por Ordenanza del Concejo Deliberante.</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Concurso Público de Precios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Art.28</w:t>
      </w:r>
      <w:r>
        <w:rPr>
          <w:rStyle w:val="C3"/>
          <w:rFonts w:ascii="Courier New" w:hAnsi="Courier New"/>
          <w:b w:val="1"/>
          <w:sz w:val="24"/>
        </w:rPr>
        <w:t>: CUANDO</w:t>
      </w:r>
      <w:r>
        <w:rPr>
          <w:rStyle w:val="C3"/>
          <w:rFonts w:ascii="Courier New" w:hAnsi="Courier New"/>
          <w:sz w:val="24"/>
        </w:rPr>
        <w:t xml:space="preserve"> el monto de la contratación supere la suma de PESOS TREINTA MIL($30.000.-), sin exceder la de PESOS CIENTO VEINTE MIL ($120.000.-) la selección del contratista efectuará mediante Concurso de Precios dispuesto por Decreto del Departamento Ejecutivo Municipal. Dicho tope podrá no será de aplicación para el caso establecido en la última parte del Artículo 10, pudiendo en ese respecto operar el Concurso sin límite en su monto cuando así se decida.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Art.29</w:t>
      </w:r>
      <w:r>
        <w:rPr>
          <w:rStyle w:val="C3"/>
          <w:rFonts w:ascii="Courier New" w:hAnsi="Courier New"/>
          <w:b w:val="1"/>
          <w:sz w:val="24"/>
        </w:rPr>
        <w:t>: SERÁN</w:t>
      </w:r>
      <w:r>
        <w:rPr>
          <w:rStyle w:val="C3"/>
          <w:rFonts w:ascii="Courier New" w:hAnsi="Courier New"/>
          <w:sz w:val="24"/>
        </w:rPr>
        <w:t xml:space="preserve"> de aplicación al Concurso Público de Precios, las normas establecidas para las Licitaciones en los Artículos 11,12,13,14,15,16 Y 17.</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...///12.-</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Publicidad</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Art.30</w:t>
      </w:r>
      <w:r>
        <w:rPr>
          <w:rStyle w:val="C3"/>
          <w:rFonts w:ascii="Courier New" w:hAnsi="Courier New"/>
          <w:b w:val="1"/>
          <w:sz w:val="24"/>
        </w:rPr>
        <w:t>: LAS</w:t>
      </w:r>
      <w:r>
        <w:rPr>
          <w:rStyle w:val="C3"/>
          <w:rFonts w:ascii="Courier New" w:hAnsi="Courier New"/>
          <w:sz w:val="24"/>
        </w:rPr>
        <w:t xml:space="preserve"> publicaciones deberán efectuarse con una anticipación mínima de cinco (5) días a la fecha de la apertura de las propuestas en las licitaciones o en los Concursos de precios. En caso de remate dicho término de anticipación se contará a partir del día previsto para la subasta.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Art.31</w:t>
      </w:r>
      <w:r>
        <w:rPr>
          <w:rStyle w:val="C3"/>
          <w:rFonts w:ascii="Courier New" w:hAnsi="Courier New"/>
          <w:b w:val="1"/>
          <w:sz w:val="24"/>
        </w:rPr>
        <w:t>: EL</w:t>
      </w:r>
      <w:r>
        <w:rPr>
          <w:rStyle w:val="C3"/>
          <w:rFonts w:ascii="Courier New" w:hAnsi="Courier New"/>
          <w:sz w:val="24"/>
        </w:rPr>
        <w:t xml:space="preserve"> llamado a licitación y el anuncio de remate serán publicados durante dos (2) días consecutivos en el Boletín Oficial de la Provincia y dos (2) días alternados en el diario de mayor circulación de la zona, cuando el presupuesto oficial en las licitaciones o la valuación base de los bienes a rematar no supere el monto que resulte de multiplicar por el coeficiente uno coma cinco (1,5), el límite máximo que se establece para realizar concurso de precios según el Artículo 28 de esta Ordenanza. Cuando el presupuesto oficial en las licitaciones o la valuación base de los bienes a remate supere el monto establecido precedentemente, pero no excediendo el monto que resulte de multiplicar por tres (3), el límite máximo que se establece para realizar concursos de precios según el Artículo 28 de esta Ordenanza serán publicados durante tres (3) días consecutivos en el Boletín oficial y tres (3) días alternados en el diario de mayor circulación de la zona. Cuando el presupuesto oficial en las licitaciones o la valuación base de los bienes a rematar supere el monto establecido precedentemente, serán publicados durante un  mínimo de tres (3) días y un máximo de seis (6) días consecutivos en el Boletín Oficial y un mínimo de tres (3) días y máximo de seis (6) días alternados en el diario de mayor circulación de la zona.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Art.32</w:t>
      </w:r>
      <w:r>
        <w:rPr>
          <w:rStyle w:val="C3"/>
          <w:rFonts w:ascii="Courier New" w:hAnsi="Courier New"/>
          <w:b w:val="1"/>
          <w:sz w:val="24"/>
        </w:rPr>
        <w:t>: EL</w:t>
      </w:r>
      <w:r>
        <w:rPr>
          <w:rStyle w:val="C3"/>
          <w:rFonts w:ascii="Courier New" w:hAnsi="Courier New"/>
          <w:sz w:val="24"/>
        </w:rPr>
        <w:t xml:space="preserve"> llamado a Concurso Público será publicado durante dos (2) días consecutivos en el Boletín Oficial de la Provincia y dos (2) días alternados en los periódicos  locales.  Cumplidos  esos requisitos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...///13.-</w:t>
      </w:r>
    </w:p>
    <w:p>
      <w:pPr>
        <w:ind w:hanging="709"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podrá adjudicarse el mismo aunque sólo exista un único oferente, cuando la respectiva oferta se ajuste a las condiciones del llamado y sea además conveniente a la Municipalidad. En su defecto podrá realizarse publicidad por medio de altavoces, colocación del llamado en lugares públicos, transparentes, carteles y/u otros medios requiriéndose en este caso tres (3) oferentes para poder adjudicar, dicha publicidad deberá ser certificada por Autoridad Policial.</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Concurso Privado de Precios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Art.33</w:t>
      </w:r>
      <w:r>
        <w:rPr>
          <w:rStyle w:val="C3"/>
          <w:rFonts w:ascii="Courier New" w:hAnsi="Courier New"/>
          <w:b w:val="1"/>
          <w:sz w:val="24"/>
        </w:rPr>
        <w:t>:CUANDO</w:t>
      </w:r>
      <w:r>
        <w:rPr>
          <w:rStyle w:val="C3"/>
          <w:rFonts w:ascii="Courier New" w:hAnsi="Courier New"/>
          <w:sz w:val="24"/>
        </w:rPr>
        <w:t xml:space="preserve"> el monto de la contratación supere la suma de PESOS DIEZ MIL ($10.000.-), sin exceder la de PESOS TREINTA MIL ($30.000.-) la selección del contratista se efectuará mediante Concurso Privado de Precios dispuesto por Decreto del Departamento Ejecutivo Municipal.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Art.34</w:t>
      </w:r>
      <w:r>
        <w:rPr>
          <w:rStyle w:val="C3"/>
          <w:rFonts w:ascii="Courier New" w:hAnsi="Courier New"/>
          <w:b w:val="1"/>
          <w:sz w:val="24"/>
        </w:rPr>
        <w:t>: SERÁN</w:t>
      </w:r>
      <w:r>
        <w:rPr>
          <w:rStyle w:val="C3"/>
          <w:rFonts w:ascii="Courier New" w:hAnsi="Courier New"/>
          <w:sz w:val="24"/>
        </w:rPr>
        <w:t xml:space="preserve"> de aplicación al Concurso Privado de Precios, las normas establecidas para las Licitaciones en los Artículo 11, Artículo 12, incs. a), b), c), i), j) y k) excepto los puntos 1) y 2) de este inciso; Artículo 13, Artículo 15, Artículo 16 y Artículo 17.</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Contratación Directa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Art.35</w:t>
      </w:r>
      <w:r>
        <w:rPr>
          <w:rStyle w:val="C3"/>
          <w:rFonts w:ascii="Courier New" w:hAnsi="Courier New"/>
          <w:b w:val="1"/>
          <w:sz w:val="24"/>
        </w:rPr>
        <w:t>: AUTORÍZASE</w:t>
      </w:r>
      <w:r>
        <w:rPr>
          <w:rStyle w:val="C3"/>
          <w:rFonts w:ascii="Courier New" w:hAnsi="Courier New"/>
          <w:sz w:val="24"/>
        </w:rPr>
        <w:t xml:space="preserve"> al Departamento Ejecutivo a contratar en forma directa en los siguientes casos:</w:t>
      </w:r>
    </w:p>
    <w:p>
      <w:pPr>
        <w:ind w:hanging="426" w:left="1560"/>
        <w:jc w:val="both"/>
        <w:rPr>
          <w:rStyle w:val="C3"/>
          <w:rFonts w:ascii="Courier New" w:hAnsi="Courier New"/>
          <w:sz w:val="24"/>
        </w:rPr>
      </w:pPr>
      <w:r>
        <w:rPr>
          <w:rStyle w:val="C3"/>
          <w:rFonts w:ascii="Courier New" w:hAnsi="Courier New"/>
          <w:b w:val="1"/>
          <w:sz w:val="24"/>
        </w:rPr>
        <w:t>1)</w:t>
      </w:r>
      <w:r>
        <w:rPr>
          <w:rStyle w:val="C3"/>
          <w:rFonts w:ascii="Courier New" w:hAnsi="Courier New"/>
          <w:sz w:val="24"/>
        </w:rPr>
        <w:t xml:space="preserve"> Cuando el monto de la contratación no supere la suma de PESOS OCHOCIENTOS ($800.-) y puedan atenderse con los créditos disponibles que tengan asignados por las Partidas del Presupuesto de Gastos vigente como mínimo con un presupuesto.</w:t>
      </w:r>
    </w:p>
    <w:p>
      <w:pPr>
        <w:ind w:hanging="426" w:left="1560"/>
        <w:jc w:val="both"/>
        <w:rPr>
          <w:rStyle w:val="C3"/>
          <w:rFonts w:ascii="Courier New" w:hAnsi="Courier New"/>
          <w:sz w:val="24"/>
        </w:rPr>
      </w:pPr>
      <w:r>
        <w:rPr>
          <w:rStyle w:val="C3"/>
          <w:rFonts w:ascii="Courier New" w:hAnsi="Courier New"/>
          <w:b w:val="1"/>
          <w:sz w:val="24"/>
        </w:rPr>
        <w:t>2)</w:t>
      </w:r>
      <w:r>
        <w:rPr>
          <w:rStyle w:val="C3"/>
          <w:rFonts w:ascii="Courier New" w:hAnsi="Courier New"/>
          <w:sz w:val="24"/>
        </w:rPr>
        <w:t xml:space="preserve"> Cuando el monto de la contratación supere la suma de PESOS OCHOCIENTOS ($800.-) y no excediendo la suma de PESOS DOS MIL QUINIENTOS ($2.500.-) y pueda atenderse por los créditos disponibles que tengan asignados por las Partidas de Presupuesto de Gastos vigentes, como mínimo con dos (2) presupuestos.</w:t>
      </w:r>
    </w:p>
    <w:p>
      <w:pPr>
        <w:ind w:hanging="426" w:left="1560"/>
        <w:jc w:val="right"/>
        <w:rPr>
          <w:rStyle w:val="C3"/>
          <w:rFonts w:ascii="Courier New" w:hAnsi="Courier New"/>
          <w:sz w:val="24"/>
        </w:rPr>
      </w:pPr>
      <w:r>
        <w:rPr>
          <w:rStyle w:val="C3"/>
          <w:rFonts w:ascii="Courier New" w:hAnsi="Courier New"/>
          <w:sz w:val="24"/>
        </w:rPr>
        <w:t>...///</w:t>
      </w: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...///14.-</w:t>
      </w:r>
    </w:p>
    <w:p>
      <w:pPr>
        <w:ind w:hanging="426" w:left="1560"/>
        <w:jc w:val="both"/>
        <w:rPr>
          <w:rStyle w:val="C3"/>
          <w:rFonts w:ascii="Courier New" w:hAnsi="Courier New"/>
          <w:b w:val="1"/>
          <w:sz w:val="24"/>
        </w:rPr>
      </w:pPr>
    </w:p>
    <w:p>
      <w:pPr>
        <w:ind w:hanging="426" w:left="1560"/>
        <w:jc w:val="both"/>
        <w:rPr>
          <w:rStyle w:val="C3"/>
          <w:rFonts w:ascii="Courier New" w:hAnsi="Courier New"/>
          <w:sz w:val="24"/>
        </w:rPr>
      </w:pPr>
      <w:r>
        <w:rPr>
          <w:rStyle w:val="C3"/>
          <w:rFonts w:ascii="Courier New" w:hAnsi="Courier New"/>
          <w:b w:val="1"/>
          <w:sz w:val="24"/>
        </w:rPr>
        <w:t>3)</w:t>
      </w:r>
      <w:r>
        <w:rPr>
          <w:rStyle w:val="C3"/>
          <w:rFonts w:ascii="Courier New" w:hAnsi="Courier New"/>
          <w:sz w:val="24"/>
        </w:rPr>
        <w:t xml:space="preserve"> Cuando el monto supere la suma de PESOS DOS MIL QUINIENTOS($2.500-) sin exceder la suma de PESOS DIEZ MIL ($10.000-), como mínimo con tres (3) presupuestos.</w:t>
      </w:r>
    </w:p>
    <w:p>
      <w:pPr>
        <w:ind w:hanging="426" w:left="1560"/>
        <w:jc w:val="both"/>
        <w:rPr>
          <w:rStyle w:val="C3"/>
          <w:rFonts w:ascii="Courier New" w:hAnsi="Courier New"/>
          <w:sz w:val="24"/>
        </w:rPr>
      </w:pPr>
      <w:r>
        <w:rPr>
          <w:rStyle w:val="C3"/>
          <w:rFonts w:ascii="Courier New" w:hAnsi="Courier New"/>
          <w:b w:val="1"/>
          <w:sz w:val="24"/>
        </w:rPr>
        <w:t>4)</w:t>
      </w:r>
      <w:r>
        <w:rPr>
          <w:rStyle w:val="C3"/>
          <w:rFonts w:ascii="Courier New" w:hAnsi="Courier New"/>
          <w:sz w:val="24"/>
        </w:rPr>
        <w:t xml:space="preserve"> Cuando en caso de urgencia manifiesta y por necesidades imperiosas no pueda esperarse el resultado de un proceso licitatorio o de un concurso de precios sin afectar la prestación de asistencia y servicios públicos. El Departamento Ejecutivo debe remitir al Concejo Deliberante dentro de los cinco (5) días hábiles siguientes, las constancias de las actuaciones labradas.</w:t>
      </w:r>
    </w:p>
    <w:p>
      <w:pPr>
        <w:ind w:hanging="426" w:left="1560"/>
        <w:jc w:val="both"/>
        <w:rPr>
          <w:rStyle w:val="C3"/>
          <w:rFonts w:ascii="Courier New" w:hAnsi="Courier New"/>
          <w:sz w:val="24"/>
        </w:rPr>
      </w:pPr>
      <w:r>
        <w:rPr>
          <w:rStyle w:val="C3"/>
          <w:rFonts w:ascii="Courier New" w:hAnsi="Courier New"/>
          <w:b w:val="1"/>
          <w:sz w:val="24"/>
        </w:rPr>
        <w:t>5)</w:t>
      </w:r>
      <w:r>
        <w:rPr>
          <w:rStyle w:val="C3"/>
          <w:rFonts w:ascii="Courier New" w:hAnsi="Courier New"/>
          <w:sz w:val="24"/>
        </w:rPr>
        <w:t xml:space="preserve"> Cuando hubiera sido declarada desierta una licitación o concurso por falta de oferentes, o hubieran sido declaradas inadmisibles las propuestas dos (2) veces.</w:t>
      </w:r>
    </w:p>
    <w:p>
      <w:pPr>
        <w:ind w:hanging="426" w:left="1560"/>
        <w:jc w:val="both"/>
        <w:rPr>
          <w:rStyle w:val="C3"/>
          <w:rFonts w:ascii="Courier New" w:hAnsi="Courier New"/>
          <w:sz w:val="24"/>
        </w:rPr>
      </w:pPr>
      <w:r>
        <w:rPr>
          <w:rStyle w:val="C3"/>
          <w:rFonts w:ascii="Courier New" w:hAnsi="Courier New"/>
          <w:b w:val="1"/>
          <w:sz w:val="24"/>
        </w:rPr>
        <w:t>6)</w:t>
      </w:r>
      <w:r>
        <w:rPr>
          <w:rStyle w:val="C3"/>
          <w:rFonts w:ascii="Courier New" w:hAnsi="Courier New"/>
          <w:sz w:val="24"/>
        </w:rPr>
        <w:t xml:space="preserve"> Cuando las obras, objetos o servicios a contratar sean de tal naturaleza que solo puedan confiarse o adquirirse a especialistas de reconocida capacidad.</w:t>
      </w:r>
    </w:p>
    <w:p>
      <w:pPr>
        <w:ind w:hanging="426" w:left="1560"/>
        <w:jc w:val="both"/>
        <w:rPr>
          <w:rStyle w:val="C3"/>
          <w:rFonts w:ascii="Courier New" w:hAnsi="Courier New"/>
          <w:sz w:val="24"/>
        </w:rPr>
      </w:pPr>
      <w:r>
        <w:rPr>
          <w:rStyle w:val="C3"/>
          <w:rFonts w:ascii="Courier New" w:hAnsi="Courier New"/>
          <w:b w:val="1"/>
          <w:sz w:val="24"/>
        </w:rPr>
        <w:t>7)</w:t>
      </w:r>
      <w:r>
        <w:rPr>
          <w:rStyle w:val="C3"/>
          <w:rFonts w:ascii="Courier New" w:hAnsi="Courier New"/>
          <w:sz w:val="24"/>
        </w:rPr>
        <w:t xml:space="preserve"> Cuando se trate de productos fabricados o distribuidos por determinadas personas o entidades o que tengan un poseedor único y cuando no hubieren sustitutos convenientes.</w:t>
      </w:r>
    </w:p>
    <w:p>
      <w:pPr>
        <w:ind w:hanging="426" w:left="1560"/>
        <w:jc w:val="both"/>
        <w:rPr>
          <w:rStyle w:val="C3"/>
          <w:rFonts w:ascii="Courier New" w:hAnsi="Courier New"/>
          <w:sz w:val="24"/>
        </w:rPr>
      </w:pPr>
      <w:r>
        <w:rPr>
          <w:rStyle w:val="C3"/>
          <w:rFonts w:ascii="Courier New" w:hAnsi="Courier New"/>
          <w:b w:val="1"/>
          <w:sz w:val="24"/>
        </w:rPr>
        <w:t>8)</w:t>
      </w:r>
      <w:r>
        <w:rPr>
          <w:rStyle w:val="C3"/>
          <w:rFonts w:ascii="Courier New" w:hAnsi="Courier New"/>
          <w:sz w:val="24"/>
        </w:rPr>
        <w:t xml:space="preserve"> Cuando se trate de contrataciones que signifiquen la mayor conveniencia, con reparticiones públicas, entidades autárquicas, Sociedades de Economía Mixta, en las que tenga participación mayoritaria el estado Nacional, Provincial o Municipal, Entidades de bien Público y Asociaciones Civiles sin fines de lucro, con personería jurídica.</w:t>
      </w:r>
    </w:p>
    <w:p>
      <w:pPr>
        <w:ind w:hanging="426" w:left="1560"/>
        <w:jc w:val="both"/>
        <w:rPr>
          <w:rStyle w:val="C3"/>
          <w:rFonts w:ascii="Courier New" w:hAnsi="Courier New"/>
          <w:sz w:val="24"/>
        </w:rPr>
      </w:pPr>
      <w:r>
        <w:rPr>
          <w:rStyle w:val="C3"/>
          <w:rFonts w:ascii="Courier New" w:hAnsi="Courier New"/>
          <w:b w:val="1"/>
          <w:sz w:val="24"/>
        </w:rPr>
        <w:t>9)</w:t>
      </w:r>
      <w:r>
        <w:rPr>
          <w:rStyle w:val="C3"/>
          <w:rFonts w:ascii="Courier New" w:hAnsi="Courier New"/>
          <w:sz w:val="24"/>
        </w:rPr>
        <w:t xml:space="preserve"> Cuando, en caso de prórroga de contratos de locación en los que la Municipalidad sea locataria de bienes o servicios para las cuales no exista previa opción, se convenga la ampliación del plazo pactado, en tanto no se alteren los precios y éstos sólo sufran las modificaciones previstas en el contrato original </w:t>
      </w:r>
    </w:p>
    <w:p>
      <w:pPr>
        <w:ind w:hanging="426" w:left="1560"/>
        <w:jc w:val="right"/>
        <w:rPr>
          <w:rStyle w:val="C3"/>
          <w:rFonts w:ascii="Courier New" w:hAnsi="Courier New"/>
          <w:sz w:val="24"/>
        </w:rPr>
      </w:pPr>
      <w:r>
        <w:rPr>
          <w:rStyle w:val="C3"/>
          <w:rFonts w:ascii="Courier New" w:hAnsi="Courier New"/>
          <w:sz w:val="24"/>
        </w:rPr>
        <w:t>...///</w:t>
      </w: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...///15.-</w:t>
      </w:r>
    </w:p>
    <w:p>
      <w:pPr>
        <w:ind w:left="1560"/>
        <w:jc w:val="both"/>
        <w:rPr>
          <w:rStyle w:val="C3"/>
          <w:rFonts w:ascii="Courier New" w:hAnsi="Courier New"/>
          <w:sz w:val="24"/>
        </w:rPr>
      </w:pPr>
      <w:r>
        <w:rPr>
          <w:rStyle w:val="C3"/>
          <w:rFonts w:ascii="Courier New" w:hAnsi="Courier New"/>
          <w:sz w:val="24"/>
        </w:rPr>
        <w:t xml:space="preserve">o por la Ley que rija en la materia. En caso de que los montos de contratación a los que se refiere el párrafo anterior superen los montos de contratación directa anterior se elevará ad-referéndum del Honorable Concejo Deliberante </w:t>
      </w:r>
    </w:p>
    <w:p>
      <w:pPr>
        <w:ind w:hanging="426" w:left="1560"/>
        <w:jc w:val="both"/>
        <w:rPr>
          <w:rStyle w:val="C3"/>
          <w:rFonts w:ascii="Courier New" w:hAnsi="Courier New"/>
          <w:sz w:val="24"/>
        </w:rPr>
      </w:pPr>
      <w:r>
        <w:rPr>
          <w:rStyle w:val="C3"/>
          <w:rFonts w:ascii="Courier New" w:hAnsi="Courier New"/>
          <w:b w:val="1"/>
          <w:sz w:val="24"/>
        </w:rPr>
        <w:t>10)</w:t>
      </w:r>
      <w:r>
        <w:rPr>
          <w:rStyle w:val="C3"/>
          <w:rFonts w:ascii="Courier New" w:hAnsi="Courier New"/>
          <w:sz w:val="24"/>
        </w:rPr>
        <w:t xml:space="preserve"> Cuando se trate de adquisición de bienes o contratación de servicios que tengan precios oficiales. En el cotejo de otros aspectos que no sean los precios, deberá procederse conforme a las disposiciones de esta Ordenanza para las adquisiciones en general.</w:t>
      </w:r>
    </w:p>
    <w:p>
      <w:pPr>
        <w:ind w:hanging="426" w:left="1560"/>
        <w:jc w:val="both"/>
        <w:rPr>
          <w:rStyle w:val="C3"/>
          <w:rFonts w:ascii="Courier New" w:hAnsi="Courier New"/>
          <w:sz w:val="24"/>
        </w:rPr>
      </w:pPr>
      <w:r>
        <w:rPr>
          <w:rStyle w:val="C3"/>
          <w:rFonts w:ascii="Courier New" w:hAnsi="Courier New"/>
          <w:b w:val="1"/>
          <w:sz w:val="24"/>
        </w:rPr>
        <w:t>11)</w:t>
      </w:r>
      <w:r>
        <w:rPr>
          <w:rStyle w:val="C3"/>
          <w:rFonts w:ascii="Courier New" w:hAnsi="Courier New"/>
          <w:sz w:val="24"/>
        </w:rPr>
        <w:t xml:space="preserve"> Cuando se trate de la adquisición de cemento portland, a sus fabricantes o distribuidores, previo cotejo de precios.</w:t>
      </w:r>
    </w:p>
    <w:p>
      <w:pPr>
        <w:ind w:hanging="426" w:left="1560"/>
        <w:jc w:val="both"/>
        <w:rPr>
          <w:rStyle w:val="C3"/>
          <w:rFonts w:ascii="Courier New" w:hAnsi="Courier New"/>
          <w:sz w:val="24"/>
        </w:rPr>
      </w:pPr>
      <w:r>
        <w:rPr>
          <w:rStyle w:val="C3"/>
          <w:rFonts w:ascii="Courier New" w:hAnsi="Courier New"/>
          <w:b w:val="1"/>
          <w:sz w:val="24"/>
        </w:rPr>
        <w:t>12)</w:t>
      </w:r>
      <w:r>
        <w:rPr>
          <w:rStyle w:val="C3"/>
          <w:rFonts w:ascii="Courier New" w:hAnsi="Courier New"/>
          <w:sz w:val="24"/>
        </w:rPr>
        <w:t xml:space="preserve"> Cuando se trate de la reparación  de vehículos, motores, máquinas o equipos, cuando resulte indispensable el desarme total o parcial de la unidad para poder cotizar las reparaciones.</w:t>
      </w:r>
    </w:p>
    <w:p>
      <w:pPr>
        <w:ind w:hanging="426" w:left="1560"/>
        <w:jc w:val="both"/>
        <w:rPr>
          <w:rStyle w:val="C3"/>
          <w:rFonts w:ascii="Courier New" w:hAnsi="Courier New"/>
          <w:sz w:val="24"/>
        </w:rPr>
      </w:pPr>
      <w:r>
        <w:rPr>
          <w:rStyle w:val="C3"/>
          <w:rFonts w:ascii="Courier New" w:hAnsi="Courier New"/>
          <w:b w:val="1"/>
          <w:sz w:val="24"/>
        </w:rPr>
        <w:t>13)</w:t>
      </w:r>
      <w:r>
        <w:rPr>
          <w:rStyle w:val="C3"/>
          <w:rFonts w:ascii="Courier New" w:hAnsi="Courier New"/>
          <w:sz w:val="24"/>
        </w:rPr>
        <w:t xml:space="preserve"> Cuando medien razones de seguridad para la población debidamente acreditada.</w:t>
      </w:r>
    </w:p>
    <w:p>
      <w:pPr>
        <w:ind w:hanging="426" w:left="1560"/>
        <w:jc w:val="both"/>
        <w:rPr>
          <w:rStyle w:val="C3"/>
          <w:rFonts w:ascii="Courier New" w:hAnsi="Courier New"/>
          <w:sz w:val="24"/>
        </w:rPr>
      </w:pPr>
      <w:r>
        <w:rPr>
          <w:rStyle w:val="C3"/>
          <w:rFonts w:ascii="Courier New" w:hAnsi="Courier New"/>
          <w:b w:val="1"/>
          <w:sz w:val="24"/>
        </w:rPr>
        <w:t>14)</w:t>
      </w:r>
      <w:r>
        <w:rPr>
          <w:rStyle w:val="C3"/>
          <w:rFonts w:ascii="Courier New" w:hAnsi="Courier New"/>
          <w:sz w:val="24"/>
        </w:rPr>
        <w:t xml:space="preserve">  Cuando se trate de publicidad oficial de actos administrativos que se refieran a licitaciones, concursos y/o remates.</w:t>
      </w:r>
    </w:p>
    <w:p>
      <w:pPr>
        <w:ind w:hanging="426" w:left="1560"/>
        <w:jc w:val="both"/>
        <w:rPr>
          <w:rStyle w:val="C3"/>
          <w:rFonts w:ascii="Courier New" w:hAnsi="Courier New"/>
          <w:sz w:val="24"/>
        </w:rPr>
      </w:pPr>
      <w:r>
        <w:rPr>
          <w:rStyle w:val="C3"/>
          <w:rFonts w:ascii="Courier New" w:hAnsi="Courier New"/>
          <w:b w:val="1"/>
          <w:sz w:val="24"/>
        </w:rPr>
        <w:t>15)</w:t>
      </w:r>
      <w:r>
        <w:rPr>
          <w:rStyle w:val="C3"/>
          <w:rFonts w:ascii="Courier New" w:hAnsi="Courier New"/>
          <w:sz w:val="24"/>
        </w:rPr>
        <w:t xml:space="preserve"> La adquisición de elementos perecederos para consumo de vecinos y/o entidades como consecuencia de necesidades sociales manifiesta.</w:t>
      </w:r>
    </w:p>
    <w:p>
      <w:pPr>
        <w:ind w:hanging="426" w:left="1560"/>
        <w:jc w:val="both"/>
        <w:rPr>
          <w:rStyle w:val="C3"/>
          <w:rFonts w:ascii="Courier New" w:hAnsi="Courier New"/>
          <w:sz w:val="24"/>
        </w:rPr>
      </w:pPr>
      <w:r>
        <w:rPr>
          <w:rStyle w:val="C3"/>
          <w:rFonts w:ascii="Courier New" w:hAnsi="Courier New"/>
          <w:b w:val="1"/>
          <w:sz w:val="24"/>
        </w:rPr>
        <w:t>16)</w:t>
      </w:r>
      <w:r>
        <w:rPr>
          <w:rStyle w:val="C3"/>
          <w:rFonts w:ascii="Courier New" w:hAnsi="Courier New"/>
          <w:sz w:val="24"/>
        </w:rPr>
        <w:t xml:space="preserve"> La locación o el arrendamiento de inmuebles destinados al funcionamiento de reparticiones y oficinas municipales.</w:t>
      </w:r>
    </w:p>
    <w:p>
      <w:pPr>
        <w:ind w:hanging="426" w:left="1560"/>
        <w:jc w:val="both"/>
        <w:rPr>
          <w:rStyle w:val="C3"/>
          <w:rFonts w:ascii="Courier New" w:hAnsi="Courier New"/>
          <w:sz w:val="24"/>
        </w:rPr>
      </w:pPr>
      <w:r>
        <w:rPr>
          <w:rStyle w:val="C3"/>
          <w:rFonts w:ascii="Courier New" w:hAnsi="Courier New"/>
          <w:b w:val="1"/>
          <w:sz w:val="24"/>
        </w:rPr>
        <w:t>17)</w:t>
      </w:r>
      <w:r>
        <w:rPr>
          <w:rStyle w:val="C3"/>
          <w:rFonts w:ascii="Courier New" w:hAnsi="Courier New"/>
          <w:sz w:val="24"/>
        </w:rPr>
        <w:t xml:space="preserve"> La locación o el arrendamiento de inmuebles destinados al apoyo y fomento de las actividades de entidades de bien público.</w:t>
      </w:r>
    </w:p>
    <w:p>
      <w:pPr>
        <w:ind w:hanging="426" w:left="1560"/>
        <w:jc w:val="both"/>
        <w:rPr>
          <w:rStyle w:val="C3"/>
          <w:rFonts w:ascii="Courier New" w:hAnsi="Courier New"/>
          <w:sz w:val="24"/>
        </w:rPr>
      </w:pPr>
      <w:r>
        <w:rPr>
          <w:rStyle w:val="C3"/>
          <w:rFonts w:ascii="Courier New" w:hAnsi="Courier New"/>
          <w:b w:val="1"/>
          <w:sz w:val="24"/>
        </w:rPr>
        <w:t>18)</w:t>
      </w:r>
      <w:r>
        <w:rPr>
          <w:rStyle w:val="C3"/>
          <w:rFonts w:ascii="Courier New" w:hAnsi="Courier New"/>
          <w:sz w:val="24"/>
        </w:rPr>
        <w:t xml:space="preserve"> La adquisición de elementos e insumos cuya tecnología de base sea de propiedad del contratista.</w:t>
      </w:r>
    </w:p>
    <w:p>
      <w:pPr>
        <w:ind w:hanging="426" w:left="1560"/>
        <w:jc w:val="both"/>
        <w:rPr>
          <w:rStyle w:val="C3"/>
          <w:rFonts w:ascii="Courier New" w:hAnsi="Courier New"/>
          <w:sz w:val="24"/>
        </w:rPr>
      </w:pPr>
      <w:r>
        <w:rPr>
          <w:rStyle w:val="C3"/>
          <w:rFonts w:ascii="Courier New" w:hAnsi="Courier New"/>
          <w:b w:val="1"/>
          <w:sz w:val="24"/>
        </w:rPr>
        <w:t>19)</w:t>
      </w:r>
      <w:r>
        <w:rPr>
          <w:rStyle w:val="C3"/>
          <w:rFonts w:ascii="Courier New" w:hAnsi="Courier New"/>
          <w:sz w:val="24"/>
        </w:rPr>
        <w:t xml:space="preserve"> Las compras y locaciones que sean menester efectuar en países extranjeros, siempre que no sea posible realizar en ellos la licitación.</w:t>
      </w:r>
    </w:p>
    <w:p>
      <w:pPr>
        <w:ind w:hanging="426" w:left="1560"/>
        <w:jc w:val="both"/>
        <w:rPr>
          <w:rStyle w:val="C3"/>
          <w:rFonts w:ascii="Courier New" w:hAnsi="Courier New"/>
          <w:sz w:val="24"/>
        </w:rPr>
      </w:pPr>
      <w:r>
        <w:rPr>
          <w:rStyle w:val="C3"/>
          <w:rFonts w:ascii="Courier New" w:hAnsi="Courier New"/>
          <w:b w:val="1"/>
          <w:sz w:val="24"/>
        </w:rPr>
        <w:t>20)</w:t>
      </w:r>
      <w:r>
        <w:rPr>
          <w:rStyle w:val="C3"/>
          <w:rFonts w:ascii="Courier New" w:hAnsi="Courier New"/>
          <w:sz w:val="24"/>
        </w:rPr>
        <w:t xml:space="preserve"> La venta de bienes consumibles o de elementos en condición de rezagos, siempre que su valor no supere el fijado por Ordenanza como monto máximo para la contratación directa.</w:t>
      </w:r>
    </w:p>
    <w:p>
      <w:pPr>
        <w:ind w:hanging="426" w:left="1560"/>
        <w:jc w:val="right"/>
        <w:rPr>
          <w:rStyle w:val="C3"/>
          <w:rFonts w:ascii="Courier New" w:hAnsi="Courier New"/>
          <w:sz w:val="24"/>
        </w:rPr>
      </w:pPr>
      <w:r>
        <w:rPr>
          <w:rStyle w:val="C3"/>
          <w:rFonts w:ascii="Courier New" w:hAnsi="Courier New"/>
          <w:sz w:val="24"/>
        </w:rPr>
        <w:t>...///</w:t>
      </w: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sz w:val="24"/>
        </w:rPr>
        <w:t>...///16.-</w:t>
      </w:r>
    </w:p>
    <w:p>
      <w:pPr>
        <w:ind w:hanging="426" w:left="1560"/>
        <w:jc w:val="both"/>
        <w:rPr>
          <w:rStyle w:val="C3"/>
          <w:rFonts w:ascii="Courier New" w:hAnsi="Courier New"/>
          <w:b w:val="1"/>
          <w:sz w:val="24"/>
        </w:rPr>
      </w:pPr>
    </w:p>
    <w:p>
      <w:pPr>
        <w:ind w:hanging="426" w:left="1560"/>
        <w:jc w:val="both"/>
        <w:rPr>
          <w:rStyle w:val="C3"/>
          <w:rFonts w:ascii="Courier New" w:hAnsi="Courier New"/>
          <w:sz w:val="24"/>
        </w:rPr>
      </w:pPr>
      <w:r>
        <w:rPr>
          <w:rStyle w:val="C3"/>
          <w:rFonts w:ascii="Courier New" w:hAnsi="Courier New"/>
          <w:b w:val="1"/>
          <w:sz w:val="24"/>
        </w:rPr>
        <w:t>21)</w:t>
      </w:r>
      <w:r>
        <w:rPr>
          <w:rStyle w:val="C3"/>
          <w:rFonts w:ascii="Courier New" w:hAnsi="Courier New"/>
          <w:sz w:val="24"/>
        </w:rPr>
        <w:t xml:space="preserve">  Venta de bienes de rezagos a instituciones de bien público.</w:t>
      </w:r>
    </w:p>
    <w:p>
      <w:pPr>
        <w:ind w:hanging="426" w:left="1560"/>
        <w:jc w:val="both"/>
        <w:rPr>
          <w:rStyle w:val="C3"/>
          <w:rFonts w:ascii="Courier New" w:hAnsi="Courier New"/>
          <w:sz w:val="24"/>
        </w:rPr>
      </w:pPr>
      <w:r>
        <w:rPr>
          <w:rStyle w:val="C3"/>
          <w:rFonts w:ascii="Courier New" w:hAnsi="Courier New"/>
          <w:b w:val="1"/>
          <w:sz w:val="24"/>
        </w:rPr>
        <w:t>22)</w:t>
      </w:r>
      <w:r>
        <w:rPr>
          <w:rStyle w:val="C3"/>
          <w:rFonts w:ascii="Courier New" w:hAnsi="Courier New"/>
          <w:sz w:val="24"/>
        </w:rPr>
        <w:t xml:space="preserve"> La venta de publicaciones que edite la administración municipal.</w:t>
      </w:r>
    </w:p>
    <w:p>
      <w:pPr>
        <w:ind w:hanging="426" w:left="1560"/>
        <w:jc w:val="both"/>
        <w:rPr>
          <w:rStyle w:val="C3"/>
          <w:rFonts w:ascii="Courier New" w:hAnsi="Courier New"/>
          <w:sz w:val="24"/>
        </w:rPr>
      </w:pPr>
      <w:r>
        <w:rPr>
          <w:rStyle w:val="C3"/>
          <w:rFonts w:ascii="Courier New" w:hAnsi="Courier New"/>
          <w:b w:val="1"/>
          <w:sz w:val="24"/>
        </w:rPr>
        <w:t>23)</w:t>
      </w:r>
      <w:r>
        <w:rPr>
          <w:rStyle w:val="C3"/>
          <w:rFonts w:ascii="Courier New" w:hAnsi="Courier New"/>
          <w:sz w:val="24"/>
        </w:rPr>
        <w:t xml:space="preserve"> Cuando se trate de servicios de carácter permanente (prestados por empresas públicas o privadas), cuyo costo se determina por mediciones periódicas de consumo, no pudiéndose calcular a priori.</w:t>
      </w:r>
    </w:p>
    <w:p>
      <w:pPr>
        <w:ind w:hanging="426" w:left="1560"/>
        <w:jc w:val="both"/>
        <w:rPr>
          <w:rStyle w:val="C3"/>
          <w:rFonts w:ascii="Courier New" w:hAnsi="Courier New"/>
          <w:sz w:val="24"/>
        </w:rPr>
      </w:pPr>
      <w:r>
        <w:rPr>
          <w:rStyle w:val="C3"/>
          <w:rFonts w:ascii="Courier New" w:hAnsi="Courier New"/>
          <w:b w:val="1"/>
          <w:sz w:val="24"/>
        </w:rPr>
        <w:t xml:space="preserve">24) </w:t>
      </w:r>
      <w:r>
        <w:rPr>
          <w:rStyle w:val="C3"/>
          <w:rFonts w:ascii="Courier New" w:hAnsi="Courier New"/>
          <w:sz w:val="24"/>
        </w:rPr>
        <w:t>La adquisición de combustibles para la movilidad de la flota de vehículos municipales, o afectados al servicio municipal, no pudiendo superar en cada operación la necesidad de consumo de un (1) mes.</w:t>
      </w:r>
    </w:p>
    <w:p>
      <w:pPr>
        <w:ind w:hanging="426" w:left="1560"/>
        <w:jc w:val="both"/>
        <w:rPr>
          <w:rStyle w:val="C3"/>
          <w:rFonts w:ascii="Courier New" w:hAnsi="Courier New"/>
          <w:sz w:val="24"/>
        </w:rPr>
      </w:pPr>
      <w:r>
        <w:rPr>
          <w:rStyle w:val="C3"/>
          <w:rFonts w:ascii="Courier New" w:hAnsi="Courier New"/>
          <w:b w:val="1"/>
          <w:sz w:val="24"/>
        </w:rPr>
        <w:t>25)</w:t>
      </w:r>
      <w:r>
        <w:rPr>
          <w:rStyle w:val="C3"/>
          <w:rFonts w:ascii="Courier New" w:hAnsi="Courier New"/>
          <w:sz w:val="24"/>
        </w:rPr>
        <w:t xml:space="preserve"> Cuando se trate de Concesión de Obras o Servicios Públicos a Sociedades Cooperativas o Entidades sin fines de lucro, con comprobada y reconocida experiencia de prestación en el servicio u obra a ejecutar.</w:t>
      </w:r>
    </w:p>
    <w:p>
      <w:pPr>
        <w:ind w:hanging="426" w:left="1560"/>
        <w:jc w:val="both"/>
        <w:rPr>
          <w:rStyle w:val="C3"/>
          <w:rFonts w:ascii="Courier New" w:hAnsi="Courier New"/>
          <w:sz w:val="24"/>
        </w:rPr>
      </w:pPr>
      <w:r>
        <w:rPr>
          <w:rStyle w:val="C3"/>
          <w:rFonts w:ascii="Courier New" w:hAnsi="Courier New"/>
          <w:b w:val="1"/>
          <w:sz w:val="24"/>
        </w:rPr>
        <w:t>26)</w:t>
      </w:r>
      <w:r>
        <w:rPr>
          <w:rStyle w:val="C3"/>
          <w:rFonts w:ascii="Courier New" w:hAnsi="Courier New"/>
          <w:sz w:val="24"/>
        </w:rPr>
        <w:t xml:space="preserve">  Se podrán adquirir bienes por el sistema de "leasing" o similares siempre que el monto total y definitivo de la operación (aún cuando abarque más de un ejercicio) no supere el límite que la Ordenanza de Presupuesto (vigente a la fecha de contratación) fija para la contratación directa.</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Responsabilidad</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Art.36</w:t>
      </w:r>
      <w:r>
        <w:rPr>
          <w:rStyle w:val="C3"/>
          <w:rFonts w:ascii="Courier New" w:hAnsi="Courier New"/>
          <w:b w:val="1"/>
          <w:sz w:val="24"/>
        </w:rPr>
        <w:t>: TODO</w:t>
      </w:r>
      <w:r>
        <w:rPr>
          <w:rStyle w:val="C3"/>
          <w:rFonts w:ascii="Courier New" w:hAnsi="Courier New"/>
          <w:sz w:val="24"/>
        </w:rPr>
        <w:t xml:space="preserve"> trámite por el cual se promueva la contratación a que hace referencia la presente Ordenanza, deberá formalizarse mediante expediente en donde, con la firma del Sr. Intendente y Secretario correspondiente, se dejará constancia del cumplimiento de cada uno de los requisitos legales exigidos, salvo el trámite correspondiente a adquisición de bienes y/o contratos que no superen el monto de contratación directa, que sin omitir el trámite de autorizaciones e intervenciones del Tribunal de Cuentas se cumplimenten sin expediente.</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...///17.-</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Art.37</w:t>
      </w:r>
      <w:r>
        <w:rPr>
          <w:rStyle w:val="C3"/>
          <w:rFonts w:ascii="Courier New" w:hAnsi="Courier New"/>
          <w:b w:val="1"/>
          <w:sz w:val="24"/>
        </w:rPr>
        <w:t>: LOS</w:t>
      </w:r>
      <w:r>
        <w:rPr>
          <w:rStyle w:val="C3"/>
          <w:rFonts w:ascii="Courier New" w:hAnsi="Courier New"/>
          <w:sz w:val="24"/>
        </w:rPr>
        <w:t xml:space="preserve"> funcionarios que realicen contrataciones en contravención con lo dispuesto en esta Ordenanza, responderán personal y solidariamente del total de lo contratado o gastado en esas condiciones y de los eventuales perjuicios que pudieran haber causado a la Municipalidad y sin perjuicio de las acciones civiles y/o penales que le pudieran corresponder.</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Art.38</w:t>
      </w:r>
      <w:r>
        <w:rPr>
          <w:rStyle w:val="C3"/>
          <w:rFonts w:ascii="Courier New" w:hAnsi="Courier New"/>
          <w:b w:val="1"/>
          <w:sz w:val="24"/>
        </w:rPr>
        <w:t>: DISPÓNESE</w:t>
      </w:r>
      <w:r>
        <w:rPr>
          <w:rStyle w:val="C3"/>
          <w:rFonts w:ascii="Courier New" w:hAnsi="Courier New"/>
          <w:sz w:val="24"/>
        </w:rPr>
        <w:t xml:space="preserve"> que las concesiones de servicios públicos y las de usos de los bienes del dominio público municipal, se otorgarán con ajuste a las previsiones contenidas en las Ordenanzas que las autoricen.</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Fondos Fijos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Art.39</w:t>
      </w:r>
      <w:r>
        <w:rPr>
          <w:rStyle w:val="C3"/>
          <w:rFonts w:ascii="Courier New" w:hAnsi="Courier New"/>
          <w:b w:val="1"/>
          <w:sz w:val="24"/>
        </w:rPr>
        <w:t>: EL</w:t>
      </w:r>
      <w:r>
        <w:rPr>
          <w:rStyle w:val="C3"/>
          <w:rFonts w:ascii="Courier New" w:hAnsi="Courier New"/>
          <w:sz w:val="24"/>
        </w:rPr>
        <w:t xml:space="preserve"> Poder Ejecutivo podrá autorizar la creación de Fondo Fijos o Caja Chica de conformidad al régimen establecido por la Ordenanza Nº 2780, Artículo 6, y sus modificatorias. Para su utilización en la atención de pagos cuya característica, modalidad o urgencia no permite aguardar la respectiva visación previa de compromiso de gastos, o para los gastos de menor cuantía que deban abonarse al contado para solucionar problemas momentáneos del servicio o adquirir elementos de escaso valor cuya necesidad se presenta imprevistamente. El monto total mensual correspondiente a los Fondos Fijos que se creen,  no podrán superar en conjunto la suma de pesos ocho mil ($8.000,00.-).</w:t>
      </w:r>
    </w:p>
    <w:p>
      <w:pPr>
        <w:jc w:val="both"/>
        <w:rPr>
          <w:rStyle w:val="C3"/>
          <w:rFonts w:ascii="Courier New" w:hAnsi="Courier New"/>
          <w:sz w:val="24"/>
        </w:rPr>
      </w:pPr>
    </w:p>
    <w:p>
      <w:pPr>
        <w:pStyle w:val="P14"/>
        <w:ind w:hanging="709" w:left="709"/>
        <w:jc w:val="both"/>
        <w:outlineLvl w:val="0"/>
        <w:rPr>
          <w:rStyle w:val="C3"/>
          <w:rFonts w:ascii="Courier New" w:hAnsi="Courier New"/>
        </w:rPr>
      </w:pPr>
      <w:r>
        <w:rPr>
          <w:rStyle w:val="C3"/>
          <w:rFonts w:ascii="Courier New" w:hAnsi="Courier New"/>
          <w:b w:val="1"/>
          <w:u w:val="single"/>
        </w:rPr>
        <w:t>Art.40</w:t>
      </w:r>
      <w:r>
        <w:rPr>
          <w:rStyle w:val="C3"/>
          <w:rFonts w:ascii="Courier New" w:hAnsi="Courier New"/>
          <w:b w:val="1"/>
        </w:rPr>
        <w:t>: PROTOCOLÍCESE</w:t>
      </w:r>
      <w:r>
        <w:rPr>
          <w:rStyle w:val="C3"/>
          <w:rFonts w:ascii="Courier New" w:hAnsi="Courier New"/>
        </w:rPr>
        <w:t>, comuníquese, publíquese en el Boletín Oficial de la Ciudad de Alta Gracia, transcríbase al Libro de Ordenanzas y archívese.</w:t>
      </w:r>
    </w:p>
    <w:p>
      <w:pPr>
        <w:pStyle w:val="P14"/>
        <w:ind w:hanging="709" w:left="709"/>
        <w:jc w:val="both"/>
        <w:outlineLvl w:val="0"/>
        <w:rPr>
          <w:rStyle w:val="C3"/>
          <w:rFonts w:ascii="Courier New" w:hAnsi="Courier New"/>
          <w:b w:val="1"/>
          <w:u w:val="single"/>
        </w:rPr>
      </w:pPr>
    </w:p>
    <w:p>
      <w:pPr>
        <w:pStyle w:val="P14"/>
        <w:ind w:hanging="709" w:left="709"/>
        <w:jc w:val="both"/>
        <w:outlineLvl w:val="0"/>
        <w:rPr>
          <w:rStyle w:val="C3"/>
          <w:rFonts w:ascii="Courier New" w:hAnsi="Courier New"/>
        </w:rPr>
      </w:pPr>
    </w:p>
    <w:p>
      <w:pPr>
        <w:pStyle w:val="P14"/>
        <w:ind w:hanging="709" w:left="709"/>
        <w:jc w:val="both"/>
        <w:outlineLvl w:val="0"/>
        <w:rPr>
          <w:rStyle w:val="C3"/>
          <w:rFonts w:ascii="Courier New" w:hAnsi="Courier New"/>
        </w:rPr>
      </w:pPr>
    </w:p>
    <w:p>
      <w:pPr>
        <w:jc w:val="both"/>
        <w:rPr>
          <w:rStyle w:val="C3"/>
          <w:rFonts w:ascii="Courier New" w:hAnsi="Courier New"/>
          <w:sz w:val="24"/>
        </w:rPr>
      </w:pPr>
      <w:r>
        <w:rPr>
          <w:rStyle w:val="C3"/>
          <w:rFonts w:ascii="Courier New" w:hAnsi="Courier New"/>
          <w:b w:val="1"/>
          <w:sz w:val="24"/>
        </w:rPr>
        <w:t>DADA EN LA SALA DE SESIONES DEL HONORABLE CONCEJO DELIBERANTE A LOS VEINTISEIS DÍAS DEL MES DE DICIEMBRE DEL AÑO DOS MIL SEIS.</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w:abstractNum w:abstractNumId="0">
    <w:nsid w:val="018323A0"/>
    <w:multiLevelType w:val="multilevel"/>
    <w:lvl w:ilvl="0">
      <w:start w:val="1"/>
      <w:numFmt w:val="decimal"/>
      <w:suff w:val="tab"/>
      <w:lvlText w:val="%1)"/>
      <w:lvlJc w:val="left"/>
      <w:pPr>
        <w:ind w:hanging="360" w:left="1353"/>
        <w:tabs>
          <w:tab w:val="left" w:pos="13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5C7637"/>
    <w:multiLevelType w:val="hybridMultilevel"/>
    <w:lvl w:ilvl="0" w:tplc="62F8D78D">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B1435C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9A219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C812520"/>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25404609"/>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278B384A"/>
    <w:multiLevelType w:val="multilevel"/>
    <w:lvl w:ilvl="0">
      <w:start w:val="1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2AA23F55"/>
    <w:multiLevelType w:val="multilevel"/>
    <w:lvl w:ilvl="0">
      <w:start w:val="1"/>
      <w:numFmt w:val="decimal"/>
      <w:suff w:val="tab"/>
      <w:lvlText w:val="%1)"/>
      <w:lvlJc w:val="left"/>
      <w:pPr>
        <w:ind w:hanging="360" w:left="2520"/>
        <w:tabs>
          <w:tab w:val="left" w:pos="2520" w:leader="none"/>
        </w:tabs>
      </w:pPr>
      <w:rPr/>
    </w:lvl>
    <w:lvl w:ilvl="1">
      <w:start w:val="1"/>
      <w:numFmt w:val="lowerLetter"/>
      <w:suff w:val="tab"/>
      <w:lvlText w:val="%2."/>
      <w:lvlJc w:val="left"/>
      <w:pPr>
        <w:ind w:hanging="360" w:left="2520"/>
        <w:tabs>
          <w:tab w:val="left" w:pos="2520" w:leader="none"/>
        </w:tabs>
      </w:pPr>
      <w:rPr/>
    </w:lvl>
    <w:lvl w:ilvl="2">
      <w:start w:val="1"/>
      <w:numFmt w:val="lowerRoman"/>
      <w:suff w:val="tab"/>
      <w:lvlText w:val="%3."/>
      <w:lvlJc w:val="right"/>
      <w:pPr>
        <w:ind w:hanging="180" w:left="3240"/>
        <w:tabs>
          <w:tab w:val="left" w:pos="3240" w:leader="none"/>
        </w:tabs>
      </w:pPr>
      <w:rPr/>
    </w:lvl>
    <w:lvl w:ilvl="3">
      <w:start w:val="1"/>
      <w:numFmt w:val="decimal"/>
      <w:suff w:val="tab"/>
      <w:lvlText w:val="%4."/>
      <w:lvlJc w:val="left"/>
      <w:pPr>
        <w:ind w:hanging="360" w:left="3960"/>
        <w:tabs>
          <w:tab w:val="left" w:pos="3960" w:leader="none"/>
        </w:tabs>
      </w:pPr>
      <w:rPr/>
    </w:lvl>
    <w:lvl w:ilvl="4">
      <w:start w:val="1"/>
      <w:numFmt w:val="lowerLetter"/>
      <w:suff w:val="tab"/>
      <w:lvlText w:val="%5."/>
      <w:lvlJc w:val="left"/>
      <w:pPr>
        <w:ind w:hanging="360" w:left="4680"/>
        <w:tabs>
          <w:tab w:val="left" w:pos="4680" w:leader="none"/>
        </w:tabs>
      </w:pPr>
      <w:rPr/>
    </w:lvl>
    <w:lvl w:ilvl="5">
      <w:start w:val="1"/>
      <w:numFmt w:val="lowerRoman"/>
      <w:suff w:val="tab"/>
      <w:lvlText w:val="%6."/>
      <w:lvlJc w:val="right"/>
      <w:pPr>
        <w:ind w:hanging="180" w:left="5400"/>
        <w:tabs>
          <w:tab w:val="left" w:pos="5400" w:leader="none"/>
        </w:tabs>
      </w:pPr>
      <w:rPr/>
    </w:lvl>
    <w:lvl w:ilvl="6">
      <w:start w:val="1"/>
      <w:numFmt w:val="decimal"/>
      <w:suff w:val="tab"/>
      <w:lvlText w:val="%7."/>
      <w:lvlJc w:val="left"/>
      <w:pPr>
        <w:ind w:hanging="360" w:left="6120"/>
        <w:tabs>
          <w:tab w:val="left" w:pos="6120" w:leader="none"/>
        </w:tabs>
      </w:pPr>
      <w:rPr/>
    </w:lvl>
    <w:lvl w:ilvl="7">
      <w:start w:val="1"/>
      <w:numFmt w:val="lowerLetter"/>
      <w:suff w:val="tab"/>
      <w:lvlText w:val="%8."/>
      <w:lvlJc w:val="left"/>
      <w:pPr>
        <w:ind w:hanging="360" w:left="6840"/>
        <w:tabs>
          <w:tab w:val="left" w:pos="6840" w:leader="none"/>
        </w:tabs>
      </w:pPr>
      <w:rPr/>
    </w:lvl>
    <w:lvl w:ilvl="8">
      <w:start w:val="1"/>
      <w:numFmt w:val="lowerRoman"/>
      <w:suff w:val="tab"/>
      <w:lvlText w:val="%9."/>
      <w:lvlJc w:val="right"/>
      <w:pPr>
        <w:ind w:hanging="180" w:left="7560"/>
        <w:tabs>
          <w:tab w:val="left" w:pos="7560" w:leader="none"/>
        </w:tabs>
      </w:pPr>
      <w:rPr/>
    </w:lvl>
  </w:abstractNum>
  <w:abstractNum w:abstractNumId="8">
    <w:nsid w:val="37BD0527"/>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A2B4EAC"/>
    <w:multiLevelType w:val="hybridMultilevel"/>
    <w:lvl w:ilvl="0" w:tplc="2A140220">
      <w:start w:val="1"/>
      <w:numFmt w:val="bullet"/>
      <w:suff w:val="tab"/>
      <w:lvlText w:val=""/>
      <w:lvlJc w:val="left"/>
      <w:pPr>
        <w:ind w:hanging="360" w:left="1211"/>
        <w:tabs>
          <w:tab w:val="left" w:pos="1211" w:leader="none"/>
        </w:tabs>
      </w:pPr>
      <w:rPr>
        <w:rFonts w:ascii="Symbol" w:hAnsi="Symbol"/>
      </w:rPr>
    </w:lvl>
    <w:lvl w:ilvl="1" w:tplc="0BD9905B">
      <w:start w:val="1"/>
      <w:numFmt w:val="bullet"/>
      <w:suff w:val="tab"/>
      <w:lvlText w:val="o"/>
      <w:lvlJc w:val="left"/>
      <w:pPr>
        <w:ind w:hanging="360" w:left="1931"/>
        <w:tabs>
          <w:tab w:val="left" w:pos="1931" w:leader="none"/>
        </w:tabs>
      </w:pPr>
      <w:rPr>
        <w:rFonts w:ascii="Courier New" w:hAnsi="Courier New"/>
      </w:rPr>
    </w:lvl>
    <w:lvl w:ilvl="2" w:tplc="0F31CE4B">
      <w:start w:val="1"/>
      <w:numFmt w:val="bullet"/>
      <w:suff w:val="tab"/>
      <w:lvlText w:val=""/>
      <w:lvlJc w:val="left"/>
      <w:pPr>
        <w:ind w:hanging="360" w:left="2651"/>
        <w:tabs>
          <w:tab w:val="left" w:pos="2651" w:leader="none"/>
        </w:tabs>
      </w:pPr>
      <w:rPr>
        <w:rFonts w:ascii="Wingdings" w:hAnsi="Wingdings"/>
      </w:rPr>
    </w:lvl>
    <w:lvl w:ilvl="3" w:tplc="4A3A4A3D">
      <w:start w:val="1"/>
      <w:numFmt w:val="bullet"/>
      <w:suff w:val="tab"/>
      <w:lvlText w:val=""/>
      <w:lvlJc w:val="left"/>
      <w:pPr>
        <w:ind w:hanging="360" w:left="3371"/>
        <w:tabs>
          <w:tab w:val="left" w:pos="3371" w:leader="none"/>
        </w:tabs>
      </w:pPr>
      <w:rPr>
        <w:rFonts w:ascii="Symbol" w:hAnsi="Symbol"/>
      </w:rPr>
    </w:lvl>
    <w:lvl w:ilvl="4" w:tplc="5182A721">
      <w:start w:val="1"/>
      <w:numFmt w:val="bullet"/>
      <w:suff w:val="tab"/>
      <w:lvlText w:val="o"/>
      <w:lvlJc w:val="left"/>
      <w:pPr>
        <w:ind w:hanging="360" w:left="4091"/>
        <w:tabs>
          <w:tab w:val="left" w:pos="4091" w:leader="none"/>
        </w:tabs>
      </w:pPr>
      <w:rPr>
        <w:rFonts w:ascii="Courier New" w:hAnsi="Courier New"/>
      </w:rPr>
    </w:lvl>
    <w:lvl w:ilvl="5" w:tplc="3D702397">
      <w:start w:val="1"/>
      <w:numFmt w:val="bullet"/>
      <w:suff w:val="tab"/>
      <w:lvlText w:val=""/>
      <w:lvlJc w:val="left"/>
      <w:pPr>
        <w:ind w:hanging="360" w:left="4811"/>
        <w:tabs>
          <w:tab w:val="left" w:pos="4811" w:leader="none"/>
        </w:tabs>
      </w:pPr>
      <w:rPr>
        <w:rFonts w:ascii="Wingdings" w:hAnsi="Wingdings"/>
      </w:rPr>
    </w:lvl>
    <w:lvl w:ilvl="6" w:tplc="06C35177">
      <w:start w:val="1"/>
      <w:numFmt w:val="bullet"/>
      <w:suff w:val="tab"/>
      <w:lvlText w:val=""/>
      <w:lvlJc w:val="left"/>
      <w:pPr>
        <w:ind w:hanging="360" w:left="5531"/>
        <w:tabs>
          <w:tab w:val="left" w:pos="5531" w:leader="none"/>
        </w:tabs>
      </w:pPr>
      <w:rPr>
        <w:rFonts w:ascii="Symbol" w:hAnsi="Symbol"/>
      </w:rPr>
    </w:lvl>
    <w:lvl w:ilvl="7" w:tplc="7F785595">
      <w:start w:val="1"/>
      <w:numFmt w:val="bullet"/>
      <w:suff w:val="tab"/>
      <w:lvlText w:val="o"/>
      <w:lvlJc w:val="left"/>
      <w:pPr>
        <w:ind w:hanging="360" w:left="6251"/>
        <w:tabs>
          <w:tab w:val="left" w:pos="6251" w:leader="none"/>
        </w:tabs>
      </w:pPr>
      <w:rPr>
        <w:rFonts w:ascii="Courier New" w:hAnsi="Courier New"/>
      </w:rPr>
    </w:lvl>
    <w:lvl w:ilvl="8" w:tplc="1706113D">
      <w:start w:val="1"/>
      <w:numFmt w:val="bullet"/>
      <w:suff w:val="tab"/>
      <w:lvlText w:val=""/>
      <w:lvlJc w:val="left"/>
      <w:pPr>
        <w:ind w:hanging="360" w:left="6971"/>
        <w:tabs>
          <w:tab w:val="left" w:pos="6971" w:leader="none"/>
        </w:tabs>
      </w:pPr>
      <w:rPr>
        <w:rFonts w:ascii="Wingdings" w:hAnsi="Wingdings"/>
      </w:rPr>
    </w:lvl>
  </w:abstractNum>
  <w:abstractNum w:abstractNumId="10">
    <w:nsid w:val="3BD16E59"/>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3D52330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3E5044D7"/>
    <w:multiLevelType w:val="multilevel"/>
    <w:lvl w:ilvl="0">
      <w:start w:val="1"/>
      <w:numFmt w:val="decimal"/>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4085728C"/>
    <w:multiLevelType w:val="multilevel"/>
    <w:lvl w:ilvl="0">
      <w:start w:val="1"/>
      <w:numFmt w:val="decimal"/>
      <w:suff w:val="tab"/>
      <w:lvlText w:val="%1)"/>
      <w:lvlJc w:val="left"/>
      <w:pPr>
        <w:ind w:hanging="360" w:left="1440"/>
        <w:tabs>
          <w:tab w:val="left" w:pos="1440" w:leader="none"/>
        </w:tabs>
      </w:pPr>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488F53FA"/>
    <w:multiLevelType w:val="multilevel"/>
    <w:lvl w:ilvl="0">
      <w:start w:val="1"/>
      <w:numFmt w:val="decimal"/>
      <w:suff w:val="tab"/>
      <w:lvlText w:val="%1)"/>
      <w:lvlJc w:val="left"/>
      <w:pPr>
        <w:ind w:hanging="360" w:left="1420"/>
        <w:tabs>
          <w:tab w:val="left" w:pos="1420" w:leader="none"/>
        </w:tabs>
      </w:pPr>
      <w:rPr/>
    </w:lvl>
    <w:lvl w:ilvl="1">
      <w:start w:val="1"/>
      <w:numFmt w:val="lowerLetter"/>
      <w:suff w:val="tab"/>
      <w:lvlText w:val="%2."/>
      <w:lvlJc w:val="left"/>
      <w:pPr>
        <w:ind w:hanging="360" w:left="2140"/>
        <w:tabs>
          <w:tab w:val="left" w:pos="2140" w:leader="none"/>
        </w:tabs>
      </w:pPr>
      <w:rPr/>
    </w:lvl>
    <w:lvl w:ilvl="2">
      <w:start w:val="1"/>
      <w:numFmt w:val="lowerRoman"/>
      <w:suff w:val="tab"/>
      <w:lvlText w:val="%3."/>
      <w:lvlJc w:val="right"/>
      <w:pPr>
        <w:ind w:hanging="180" w:left="2860"/>
        <w:tabs>
          <w:tab w:val="left" w:pos="2860" w:leader="none"/>
        </w:tabs>
      </w:pPr>
      <w:rPr/>
    </w:lvl>
    <w:lvl w:ilvl="3">
      <w:start w:val="1"/>
      <w:numFmt w:val="decimal"/>
      <w:suff w:val="tab"/>
      <w:lvlText w:val="%4."/>
      <w:lvlJc w:val="left"/>
      <w:pPr>
        <w:ind w:hanging="360" w:left="3580"/>
        <w:tabs>
          <w:tab w:val="left" w:pos="3580" w:leader="none"/>
        </w:tabs>
      </w:pPr>
      <w:rPr/>
    </w:lvl>
    <w:lvl w:ilvl="4">
      <w:start w:val="1"/>
      <w:numFmt w:val="lowerLetter"/>
      <w:suff w:val="tab"/>
      <w:lvlText w:val="%5."/>
      <w:lvlJc w:val="left"/>
      <w:pPr>
        <w:ind w:hanging="360" w:left="4300"/>
        <w:tabs>
          <w:tab w:val="left" w:pos="4300" w:leader="none"/>
        </w:tabs>
      </w:pPr>
      <w:rPr/>
    </w:lvl>
    <w:lvl w:ilvl="5">
      <w:start w:val="1"/>
      <w:numFmt w:val="lowerRoman"/>
      <w:suff w:val="tab"/>
      <w:lvlText w:val="%6."/>
      <w:lvlJc w:val="right"/>
      <w:pPr>
        <w:ind w:hanging="180" w:left="5020"/>
        <w:tabs>
          <w:tab w:val="left" w:pos="5020" w:leader="none"/>
        </w:tabs>
      </w:pPr>
      <w:rPr/>
    </w:lvl>
    <w:lvl w:ilvl="6">
      <w:start w:val="1"/>
      <w:numFmt w:val="decimal"/>
      <w:suff w:val="tab"/>
      <w:lvlText w:val="%7."/>
      <w:lvlJc w:val="left"/>
      <w:pPr>
        <w:ind w:hanging="360" w:left="5740"/>
        <w:tabs>
          <w:tab w:val="left" w:pos="5740" w:leader="none"/>
        </w:tabs>
      </w:pPr>
      <w:rPr/>
    </w:lvl>
    <w:lvl w:ilvl="7">
      <w:start w:val="1"/>
      <w:numFmt w:val="lowerLetter"/>
      <w:suff w:val="tab"/>
      <w:lvlText w:val="%8."/>
      <w:lvlJc w:val="left"/>
      <w:pPr>
        <w:ind w:hanging="360" w:left="6460"/>
        <w:tabs>
          <w:tab w:val="left" w:pos="6460" w:leader="none"/>
        </w:tabs>
      </w:pPr>
      <w:rPr/>
    </w:lvl>
    <w:lvl w:ilvl="8">
      <w:start w:val="1"/>
      <w:numFmt w:val="lowerRoman"/>
      <w:suff w:val="tab"/>
      <w:lvlText w:val="%9."/>
      <w:lvlJc w:val="right"/>
      <w:pPr>
        <w:ind w:hanging="180" w:left="7180"/>
        <w:tabs>
          <w:tab w:val="left" w:pos="7180" w:leader="none"/>
        </w:tabs>
      </w:pPr>
      <w:rPr/>
    </w:lvl>
  </w:abstractNum>
  <w:abstractNum w:abstractNumId="15">
    <w:nsid w:val="55AE471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76A546E"/>
    <w:multiLevelType w:val="multilevel"/>
    <w:lvl w:ilvl="0">
      <w:start w:val="1"/>
      <w:numFmt w:val="lowerLetter"/>
      <w:suff w:val="tab"/>
      <w:lvlText w:val="%1)"/>
      <w:lvlJc w:val="left"/>
      <w:pPr>
        <w:ind w:hanging="375" w:left="715"/>
        <w:tabs>
          <w:tab w:val="left" w:pos="715" w:leader="none"/>
        </w:tabs>
      </w:pPr>
      <w:rPr>
        <w:b w:val="1"/>
        <w:u w:val="single"/>
      </w:rPr>
    </w:lvl>
    <w:lvl w:ilvl="1">
      <w:start w:val="1"/>
      <w:numFmt w:val="decimal"/>
      <w:suff w:val="tab"/>
      <w:lvlText w:val="%2)"/>
      <w:lvlJc w:val="left"/>
      <w:pPr>
        <w:ind w:hanging="360" w:left="1420"/>
        <w:tabs>
          <w:tab w:val="left" w:pos="1420" w:leader="none"/>
        </w:tabs>
      </w:pPr>
      <w:rPr/>
    </w:lvl>
    <w:lvl w:ilvl="2">
      <w:start w:val="1"/>
      <w:numFmt w:val="lowerRoman"/>
      <w:suff w:val="tab"/>
      <w:lvlText w:val="%3."/>
      <w:lvlJc w:val="right"/>
      <w:pPr>
        <w:ind w:hanging="180" w:left="2140"/>
        <w:tabs>
          <w:tab w:val="left" w:pos="2140" w:leader="none"/>
        </w:tabs>
      </w:pPr>
      <w:rPr/>
    </w:lvl>
    <w:lvl w:ilvl="3">
      <w:start w:val="1"/>
      <w:numFmt w:val="decimal"/>
      <w:suff w:val="tab"/>
      <w:lvlText w:val="%4."/>
      <w:lvlJc w:val="left"/>
      <w:pPr>
        <w:ind w:hanging="360" w:left="2860"/>
        <w:tabs>
          <w:tab w:val="left" w:pos="2860" w:leader="none"/>
        </w:tabs>
      </w:pPr>
      <w:rPr/>
    </w:lvl>
    <w:lvl w:ilvl="4">
      <w:start w:val="1"/>
      <w:numFmt w:val="lowerLetter"/>
      <w:suff w:val="tab"/>
      <w:lvlText w:val="%5."/>
      <w:lvlJc w:val="left"/>
      <w:pPr>
        <w:ind w:hanging="360" w:left="3580"/>
        <w:tabs>
          <w:tab w:val="left" w:pos="3580" w:leader="none"/>
        </w:tabs>
      </w:pPr>
      <w:rPr/>
    </w:lvl>
    <w:lvl w:ilvl="5">
      <w:start w:val="1"/>
      <w:numFmt w:val="lowerRoman"/>
      <w:suff w:val="tab"/>
      <w:lvlText w:val="%6."/>
      <w:lvlJc w:val="right"/>
      <w:pPr>
        <w:ind w:hanging="180" w:left="4300"/>
        <w:tabs>
          <w:tab w:val="left" w:pos="4300" w:leader="none"/>
        </w:tabs>
      </w:pPr>
      <w:rPr/>
    </w:lvl>
    <w:lvl w:ilvl="6">
      <w:start w:val="1"/>
      <w:numFmt w:val="decimal"/>
      <w:suff w:val="tab"/>
      <w:lvlText w:val="%7."/>
      <w:lvlJc w:val="left"/>
      <w:pPr>
        <w:ind w:hanging="360" w:left="5020"/>
        <w:tabs>
          <w:tab w:val="left" w:pos="5020" w:leader="none"/>
        </w:tabs>
      </w:pPr>
      <w:rPr/>
    </w:lvl>
    <w:lvl w:ilvl="7">
      <w:start w:val="1"/>
      <w:numFmt w:val="lowerLetter"/>
      <w:suff w:val="tab"/>
      <w:lvlText w:val="%8."/>
      <w:lvlJc w:val="left"/>
      <w:pPr>
        <w:ind w:hanging="360" w:left="5740"/>
        <w:tabs>
          <w:tab w:val="left" w:pos="5740" w:leader="none"/>
        </w:tabs>
      </w:pPr>
      <w:rPr/>
    </w:lvl>
    <w:lvl w:ilvl="8">
      <w:start w:val="1"/>
      <w:numFmt w:val="lowerRoman"/>
      <w:suff w:val="tab"/>
      <w:lvlText w:val="%9."/>
      <w:lvlJc w:val="right"/>
      <w:pPr>
        <w:ind w:hanging="180" w:left="6460"/>
        <w:tabs>
          <w:tab w:val="left" w:pos="6460" w:leader="none"/>
        </w:tabs>
      </w:pPr>
      <w:rPr/>
    </w:lvl>
  </w:abstractNum>
  <w:abstractNum w:abstractNumId="17">
    <w:nsid w:val="5A721DDA"/>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5E1A64A5"/>
    <w:multiLevelType w:val="multilevel"/>
    <w:lvl w:ilvl="0">
      <w:start w:val="1"/>
      <w:numFmt w:val="lowerLetter"/>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5FC37879"/>
    <w:multiLevelType w:val="multilevel"/>
    <w:lvl w:ilvl="0">
      <w:start w:val="1"/>
      <w:numFmt w:val="decimal"/>
      <w:suff w:val="tab"/>
      <w:lvlText w:val="%1)"/>
      <w:lvlJc w:val="left"/>
      <w:pPr>
        <w:ind w:hanging="360" w:left="2500"/>
        <w:tabs>
          <w:tab w:val="left" w:pos="250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0">
    <w:nsid w:val="649C0171"/>
    <w:multiLevelType w:val="multilevel"/>
    <w:lvl w:ilvl="0">
      <w:start w:val="1"/>
      <w:numFmt w:val="decimal"/>
      <w:suff w:val="tab"/>
      <w:lvlText w:val="%1."/>
      <w:lvlJc w:val="left"/>
      <w:pPr>
        <w:ind w:hanging="360" w:left="1780"/>
        <w:tabs>
          <w:tab w:val="left" w:pos="178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1">
    <w:nsid w:val="68FF51C4"/>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7AA718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7C2B5AC8"/>
    <w:multiLevelType w:val="multilevel"/>
    <w:lvl w:ilvl="0">
      <w:start w:val="1"/>
      <w:numFmt w:val="decimal"/>
      <w:suff w:val="tab"/>
      <w:lvlText w:val="%1."/>
      <w:lvlJc w:val="left"/>
      <w:pPr>
        <w:ind w:hanging="360" w:left="1780"/>
        <w:tabs>
          <w:tab w:val="left" w:pos="1780" w:leader="none"/>
        </w:tabs>
      </w:pPr>
      <w:rPr/>
    </w:lvl>
    <w:lvl w:ilvl="1">
      <w:start w:val="1"/>
      <w:numFmt w:val="lowerLetter"/>
      <w:suff w:val="tab"/>
      <w:lvlText w:val="%2."/>
      <w:lvlJc w:val="left"/>
      <w:pPr>
        <w:ind w:hanging="360" w:left="2500"/>
        <w:tabs>
          <w:tab w:val="left" w:pos="2500" w:leader="none"/>
        </w:tabs>
      </w:pPr>
      <w:rPr/>
    </w:lvl>
    <w:lvl w:ilvl="2">
      <w:start w:val="1"/>
      <w:numFmt w:val="lowerRoman"/>
      <w:suff w:val="tab"/>
      <w:lvlText w:val="%3."/>
      <w:lvlJc w:val="right"/>
      <w:pPr>
        <w:ind w:hanging="180" w:left="3220"/>
        <w:tabs>
          <w:tab w:val="left" w:pos="3220" w:leader="none"/>
        </w:tabs>
      </w:pPr>
      <w:rPr/>
    </w:lvl>
    <w:lvl w:ilvl="3">
      <w:start w:val="1"/>
      <w:numFmt w:val="decimal"/>
      <w:suff w:val="tab"/>
      <w:lvlText w:val="%4."/>
      <w:lvlJc w:val="left"/>
      <w:pPr>
        <w:ind w:hanging="360" w:left="3940"/>
        <w:tabs>
          <w:tab w:val="left" w:pos="3940" w:leader="none"/>
        </w:tabs>
      </w:pPr>
      <w:rPr/>
    </w:lvl>
    <w:lvl w:ilvl="4">
      <w:start w:val="1"/>
      <w:numFmt w:val="lowerLetter"/>
      <w:suff w:val="tab"/>
      <w:lvlText w:val="%5."/>
      <w:lvlJc w:val="left"/>
      <w:pPr>
        <w:ind w:hanging="360" w:left="4660"/>
        <w:tabs>
          <w:tab w:val="left" w:pos="4660" w:leader="none"/>
        </w:tabs>
      </w:pPr>
      <w:rPr/>
    </w:lvl>
    <w:lvl w:ilvl="5">
      <w:start w:val="1"/>
      <w:numFmt w:val="lowerRoman"/>
      <w:suff w:val="tab"/>
      <w:lvlText w:val="%6."/>
      <w:lvlJc w:val="right"/>
      <w:pPr>
        <w:ind w:hanging="180" w:left="5380"/>
        <w:tabs>
          <w:tab w:val="left" w:pos="5380" w:leader="none"/>
        </w:tabs>
      </w:pPr>
      <w:rPr/>
    </w:lvl>
    <w:lvl w:ilvl="6">
      <w:start w:val="1"/>
      <w:numFmt w:val="decimal"/>
      <w:suff w:val="tab"/>
      <w:lvlText w:val="%7."/>
      <w:lvlJc w:val="left"/>
      <w:pPr>
        <w:ind w:hanging="360" w:left="6100"/>
        <w:tabs>
          <w:tab w:val="left" w:pos="6100" w:leader="none"/>
        </w:tabs>
      </w:pPr>
      <w:rPr/>
    </w:lvl>
    <w:lvl w:ilvl="7">
      <w:start w:val="1"/>
      <w:numFmt w:val="lowerLetter"/>
      <w:suff w:val="tab"/>
      <w:lvlText w:val="%8."/>
      <w:lvlJc w:val="left"/>
      <w:pPr>
        <w:ind w:hanging="360" w:left="6820"/>
        <w:tabs>
          <w:tab w:val="left" w:pos="6820" w:leader="none"/>
        </w:tabs>
      </w:pPr>
      <w:rPr/>
    </w:lvl>
    <w:lvl w:ilvl="8">
      <w:start w:val="1"/>
      <w:numFmt w:val="lowerRoman"/>
      <w:suff w:val="tab"/>
      <w:lvlText w:val="%9."/>
      <w:lvlJc w:val="right"/>
      <w:pPr>
        <w:ind w:hanging="180" w:left="7540"/>
        <w:tabs>
          <w:tab w:val="left" w:pos="7540" w:leader="none"/>
        </w:tabs>
      </w:pPr>
      <w:rPr/>
    </w:lvl>
  </w:abstractNum>
  <w:abstractNum w:abstractNumId="24">
    <w:nsid w:val="7E723A4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8"/>
  </w:num>
  <w:num w:numId="2">
    <w:abstractNumId w:val="12"/>
  </w:num>
  <w:num w:numId="3">
    <w:abstractNumId w:val="21"/>
  </w:num>
  <w:num w:numId="4">
    <w:abstractNumId w:val="10"/>
  </w:num>
  <w:num w:numId="5">
    <w:abstractNumId w:val="3"/>
  </w:num>
  <w:num w:numId="6">
    <w:abstractNumId w:val="2"/>
  </w:num>
  <w:num w:numId="7">
    <w:abstractNumId w:val="0"/>
  </w:num>
  <w:num w:numId="8">
    <w:abstractNumId w:val="15"/>
  </w:num>
  <w:num w:numId="9">
    <w:abstractNumId w:val="11"/>
  </w:num>
  <w:num w:numId="10">
    <w:abstractNumId w:val="17"/>
  </w:num>
  <w:num w:numId="11">
    <w:abstractNumId w:val="24"/>
  </w:num>
  <w:num w:numId="12">
    <w:abstractNumId w:val="1"/>
  </w:num>
  <w:num w:numId="13">
    <w:abstractNumId w:val="22"/>
  </w:num>
  <w:num w:numId="14">
    <w:abstractNumId w:val="8"/>
  </w:num>
  <w:num w:numId="15">
    <w:abstractNumId w:val="6"/>
  </w:num>
  <w:num w:numId="16">
    <w:abstractNumId w:val="4"/>
  </w:num>
  <w:num w:numId="17">
    <w:abstractNumId w:val="9"/>
  </w:num>
  <w:num w:numId="18">
    <w:abstractNumId w:val="5"/>
  </w:num>
  <w:num w:numId="19">
    <w:abstractNumId w:val="16"/>
  </w:num>
  <w:num w:numId="20">
    <w:abstractNumId w:val="7"/>
  </w:num>
  <w:num w:numId="21">
    <w:abstractNumId w:val="13"/>
  </w:num>
  <w:num w:numId="22">
    <w:abstractNumId w:val="19"/>
  </w:num>
  <w:num w:numId="23">
    <w:abstractNumId w:val="14"/>
  </w:num>
  <w:num w:numId="24">
    <w:abstractNumId w:val="20"/>
  </w:num>
  <w:num w:numId="25">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both"/>
      <w:outlineLvl w:val="0"/>
    </w:pPr>
    <w:rPr>
      <w:rFonts w:ascii="Tahoma" w:hAnsi="Tahoma"/>
      <w:b w:val="1"/>
      <w:sz w:val="24"/>
      <w:u w:val="single"/>
    </w:rPr>
  </w:style>
  <w:style w:type="paragraph" w:styleId="P2">
    <w:name w:val="Título 2"/>
    <w:basedOn w:val="P0"/>
    <w:next w:val="P0"/>
    <w:pPr>
      <w:keepNext w:val="1"/>
      <w:ind w:left="142"/>
      <w:jc w:val="both"/>
      <w:outlineLvl w:val="1"/>
    </w:pPr>
    <w:rPr>
      <w:rFonts w:ascii="Tahoma" w:hAnsi="Tahoma"/>
      <w:b w:val="1"/>
      <w:sz w:val="24"/>
      <w:u w:val="single"/>
    </w:rPr>
  </w:style>
  <w:style w:type="paragraph" w:styleId="P3">
    <w:name w:val="Título 3"/>
    <w:basedOn w:val="P0"/>
    <w:next w:val="P0"/>
    <w:pPr>
      <w:keepNext w:val="1"/>
      <w:ind w:hanging="851" w:left="851"/>
      <w:jc w:val="both"/>
      <w:outlineLvl w:val="2"/>
    </w:pPr>
    <w:rPr>
      <w:rFonts w:ascii="Tahoma" w:hAnsi="Tahoma"/>
      <w:b w:val="1"/>
      <w:u w:val="single"/>
    </w:rPr>
  </w:style>
  <w:style w:type="paragraph" w:styleId="P4">
    <w:name w:val="Título 4"/>
    <w:basedOn w:val="P0"/>
    <w:next w:val="P0"/>
    <w:pPr>
      <w:keepNext w:val="1"/>
      <w:jc w:val="center"/>
      <w:outlineLvl w:val="3"/>
    </w:pPr>
    <w:rPr>
      <w:rFonts w:ascii="Tahoma" w:hAnsi="Tahoma"/>
      <w:b w:val="1"/>
      <w:u w:val="single"/>
    </w:rPr>
  </w:style>
  <w:style w:type="paragraph" w:styleId="P5">
    <w:name w:val="Título 5"/>
    <w:basedOn w:val="P0"/>
    <w:next w:val="P0"/>
    <w:pPr>
      <w:keepNext w:val="1"/>
      <w:outlineLvl w:val="4"/>
    </w:pPr>
    <w:rPr>
      <w:rFonts w:ascii="Tahoma" w:hAnsi="Tahoma"/>
      <w:b w:val="1"/>
      <w:sz w:val="24"/>
      <w:u w:val="single"/>
    </w:rPr>
  </w:style>
  <w:style w:type="paragraph" w:styleId="P6">
    <w:name w:val="Título 6"/>
    <w:basedOn w:val="P0"/>
    <w:next w:val="P0"/>
    <w:pPr>
      <w:keepNext w:val="1"/>
      <w:jc w:val="both"/>
      <w:outlineLvl w:val="5"/>
    </w:pPr>
    <w:rPr>
      <w:rFonts w:ascii="Tahoma" w:hAnsi="Tahoma"/>
      <w:b w:val="1"/>
      <w:sz w:val="22"/>
      <w:u w:val="single"/>
    </w:rPr>
  </w:style>
  <w:style w:type="paragraph" w:styleId="P7">
    <w:name w:val="Título 7"/>
    <w:basedOn w:val="P0"/>
    <w:next w:val="P0"/>
    <w:pPr>
      <w:keepNext w:val="1"/>
      <w:jc w:val="both"/>
      <w:outlineLvl w:val="6"/>
    </w:pPr>
    <w:rPr>
      <w:rFonts w:ascii="Tahoma" w:hAnsi="Tahoma"/>
      <w:b w:val="1"/>
      <w:sz w:val="22"/>
    </w:rPr>
  </w:style>
  <w:style w:type="paragraph" w:styleId="P8">
    <w:name w:val="Título 8"/>
    <w:basedOn w:val="P0"/>
    <w:next w:val="P0"/>
    <w:pPr>
      <w:keepNext w:val="1"/>
      <w:ind w:hanging="1021" w:left="1021"/>
      <w:jc w:val="both"/>
      <w:outlineLvl w:val="7"/>
    </w:pPr>
    <w:rPr>
      <w:rFonts w:ascii="Tahoma" w:hAnsi="Tahoma"/>
      <w:b w:val="1"/>
      <w:sz w:val="22"/>
      <w:u w:val="single"/>
    </w:rPr>
  </w:style>
  <w:style w:type="paragraph" w:styleId="P9">
    <w:name w:val="Título 9"/>
    <w:basedOn w:val="P0"/>
    <w:next w:val="P0"/>
    <w:pPr>
      <w:keepNext w:val="1"/>
      <w:jc w:val="center"/>
      <w:outlineLvl w:val="8"/>
    </w:pPr>
    <w:rPr>
      <w:rFonts w:ascii="Courier New" w:hAnsi="Courier New"/>
      <w:sz w:val="24"/>
    </w:rPr>
  </w:style>
  <w:style w:type="paragraph" w:styleId="P10">
    <w:name w:val="Sangría de t. independiente"/>
    <w:basedOn w:val="P0"/>
    <w:next w:val="P10"/>
    <w:pPr>
      <w:ind w:left="993"/>
      <w:jc w:val="both"/>
    </w:pPr>
    <w:rPr>
      <w:rFonts w:ascii="Tahoma" w:hAnsi="Tahoma"/>
      <w:sz w:val="24"/>
    </w:rPr>
  </w:style>
  <w:style w:type="paragraph" w:styleId="P11">
    <w:name w:val="Sangría 2 de t. independiente"/>
    <w:basedOn w:val="P0"/>
    <w:next w:val="P11"/>
    <w:pPr>
      <w:ind w:hanging="993" w:left="993"/>
      <w:jc w:val="both"/>
    </w:pPr>
    <w:rPr>
      <w:rFonts w:ascii="Tahoma" w:hAnsi="Tahoma"/>
      <w:sz w:val="24"/>
    </w:rPr>
  </w:style>
  <w:style w:type="paragraph" w:styleId="P12">
    <w:name w:val="Sangría 3 de t. independiente"/>
    <w:basedOn w:val="P0"/>
    <w:next w:val="P12"/>
    <w:pPr>
      <w:ind w:left="851"/>
      <w:jc w:val="both"/>
    </w:pPr>
    <w:rPr>
      <w:rFonts w:ascii="Tahoma" w:hAnsi="Tahoma"/>
      <w:sz w:val="24"/>
    </w:rPr>
  </w:style>
  <w:style w:type="paragraph" w:styleId="P13">
    <w:name w:val="Texto independiente"/>
    <w:basedOn w:val="P0"/>
    <w:next w:val="P13"/>
    <w:pPr>
      <w:jc w:val="both"/>
    </w:pPr>
    <w:rPr>
      <w:rFonts w:ascii="Tahoma" w:hAnsi="Tahoma"/>
    </w:rPr>
  </w:style>
  <w:style w:type="paragraph" w:styleId="P14">
    <w:name w:val="Body Text 2"/>
    <w:basedOn w:val="P0"/>
    <w:next w:val="P14"/>
    <w:pPr>
      <w:jc w:val="center"/>
    </w:pPr>
    <w:rPr>
      <w:sz w:val="24"/>
    </w:rPr>
  </w:style>
  <w:style w:type="paragraph" w:styleId="P15">
    <w:name w:val="Texto sin formato"/>
    <w:basedOn w:val="P0"/>
    <w:next w:val="P15"/>
    <w:pPr/>
    <w:rPr>
      <w:rFonts w:ascii="Courier New" w:hAnsi="Courier New"/>
    </w:rPr>
  </w:style>
  <w:style w:type="paragraph" w:styleId="P16">
    <w:name w:val="Texto independiente 2"/>
    <w:basedOn w:val="P0"/>
    <w:next w:val="P16"/>
    <w:pPr>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EW/LN/CB</dc:creator>
  <dcterms:created xsi:type="dcterms:W3CDTF">2006-12-26T12:22:00Z</dcterms:created>
  <cp:keywords>Ethan</cp:keywords>
  <cp:lastModifiedBy>Ethan Puglia</cp:lastModifiedBy>
  <cp:lastPrinted>2006-11-07T12:27:00Z</cp:lastPrinted>
  <dcterms:modified xsi:type="dcterms:W3CDTF">2019-03-28T17:34:06Z</dcterms:modified>
  <cp:revision>26</cp:revision>
  <dc:title>Ethan Frome</dc:title>
</cp:coreProperties>
</file>