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3D84297B" Type="http://schemas.openxmlformats.org/officeDocument/2006/relationships/officeDocument" Target="/word/document.xml" /><Relationship Id="coreR3D84297B"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4"/>
        <w:rPr>
          <w:rStyle w:val="C3"/>
        </w:rPr>
      </w:pPr>
    </w:p>
    <w:p>
      <w:pPr>
        <w:pStyle w:val="P4"/>
        <w:rPr>
          <w:rStyle w:val="C3"/>
        </w:rPr>
      </w:pPr>
    </w:p>
    <w:p>
      <w:pPr>
        <w:pStyle w:val="P4"/>
      </w:pPr>
      <w:r>
        <w:t>ORDENANZA N° 8591</w:t>
      </w:r>
    </w:p>
    <w:p>
      <w:pPr>
        <w:ind w:hanging="561" w:left="561"/>
        <w:jc w:val="both"/>
        <w:rPr>
          <w:rStyle w:val="C3"/>
          <w:rFonts w:ascii="Courier New" w:hAnsi="Courier New"/>
        </w:rPr>
      </w:pPr>
    </w:p>
    <w:p>
      <w:pPr>
        <w:ind w:hanging="561" w:left="561"/>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rPr>
        <w:t>Visto: El Bicentenario de la Revolución de Mayo, el Gral. Martín Miguel de Güemes; y</w:t>
      </w:r>
    </w:p>
    <w:p>
      <w:pPr>
        <w:pStyle w:val="P15"/>
        <w:tabs>
          <w:tab w:val="clear" w:pos="4252" w:leader="none"/>
          <w:tab w:val="clear" w:pos="8504" w:leader="none"/>
        </w:tabs>
        <w:rPr>
          <w:rStyle w:val="C3"/>
        </w:rPr>
      </w:pPr>
    </w:p>
    <w:p>
      <w:pPr>
        <w:pStyle w:val="P2"/>
        <w:rPr>
          <w:rStyle w:val="C3"/>
        </w:rPr>
      </w:pPr>
    </w:p>
    <w:p>
      <w:pPr>
        <w:pStyle w:val="P2"/>
      </w:pPr>
      <w:r>
        <w:t>C O N S I D E R A N D O</w:t>
      </w:r>
    </w:p>
    <w:p/>
    <w:p/>
    <w:p>
      <w:pPr>
        <w:ind w:left="561"/>
        <w:jc w:val="both"/>
        <w:rPr>
          <w:rStyle w:val="C3"/>
          <w:rFonts w:ascii="Courier New" w:hAnsi="Courier New"/>
        </w:rPr>
      </w:pPr>
      <w:r>
        <w:rPr>
          <w:rStyle w:val="C3"/>
          <w:rFonts w:ascii="Courier New" w:hAnsi="Courier New"/>
        </w:rPr>
        <w:t xml:space="preserve">Que a Martín Miguel de Güemes se lo debe considerar Paladín de América por su lucha por alcanzar la  Unidad de las Provincias Unidas del Río de la Plata;</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en su credo político exaltó el respeto a la dignidad humana que comprende el derecho a la libertad, al trabajo, y a la propiedad de la tierra;</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no fue un caudillo local y menos un simple defensor de las fronteras del norte, sino un Caudillo de América, por que su gesta heroica abarco el vasto territorio de las Provincias Unidas del Río de la Plata con visión de forjar una Patria Mayor;</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 xml:space="preserve">Que fue  parte fundamental del Estado Mayor Indepentista que formaron San Martín, Belgrano y Pueyrredón, su heroísmo y su martirio al servicio de la Patria Grande, se sustento en una integración regional abierta;</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su pensamiento y acción es nuestra nostalgia de futuro: la creación de los Estados Unidos del Sur;</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 xml:space="preserve">Que fue quizás uno de los caudillos más odiados por las autoridades de Buenos Aires, habiendo combatido contra las tropas realistas y admirado por San Martín como  así también por Belgrano;</w:t>
      </w:r>
    </w:p>
    <w:p>
      <w:pPr>
        <w:ind w:left="561"/>
        <w:jc w:val="right"/>
        <w:rPr>
          <w:rStyle w:val="C3"/>
          <w:rFonts w:ascii="Courier New" w:hAnsi="Courier New"/>
        </w:rPr>
      </w:pPr>
      <w:r>
        <w:rPr>
          <w:rStyle w:val="C3"/>
          <w:rFonts w:ascii="Courier New" w:hAnsi="Courier New"/>
        </w:rPr>
        <w:t>...///</w:t>
      </w: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“2010 Año del Bicentenario de la Revolución de Mayo”</w:t>
      </w:r>
    </w:p>
    <w:p>
      <w:pPr>
        <w:pStyle w:val="P16"/>
        <w:ind w:left="113"/>
        <w:jc w:val="center"/>
        <w:rPr>
          <w:rStyle w:val="C3"/>
          <w:rFonts w:ascii="JaneAusten" w:hAnsi="JaneAusten"/>
          <w:b w:val="1"/>
          <w:sz w:val="24"/>
        </w:rPr>
      </w:pPr>
    </w:p>
    <w:p>
      <w:pPr>
        <w:pStyle w:val="P16"/>
        <w:ind w:left="113"/>
        <w:rPr>
          <w:rStyle w:val="C3"/>
          <w:rFonts w:ascii="Courier New" w:hAnsi="Courier New"/>
          <w:b w:val="1"/>
          <w:sz w:val="24"/>
        </w:rPr>
      </w:pPr>
      <w:r>
        <w:rPr>
          <w:rStyle w:val="C3"/>
          <w:rFonts w:ascii="Courier New" w:hAnsi="Courier New"/>
          <w:b w:val="0"/>
          <w:sz w:val="24"/>
        </w:rPr>
        <w:t>...///2.-</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 xml:space="preserve">Que en sus luchas, el General Güemes peleo cuerpo a cuerpo y sable a sable, siendo la fuerza del  gaucho mayor incluso cuando eran menos en cantidad que los realistas;</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 xml:space="preserve">Que mediante una reciente Ley del Congreso Nacional (Ley Nº 26125) fue declarado Héroe Nacional y otra (Ley Nº 25172) declara el Día de la Libertad Latinoamericana  el 17 de Junio, fecha de su muerte;</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mantuvo estrechos vínculos de amistad con destacadas figuras del federalismo Cordobés como Juan Bautista Bustos y José Javier Díaz;</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 xml:space="preserve">Que fue su maestro, al igual que de Dalmasio Vélez Sarsfield, el abogado Antonio de Castro, jurisconsulto, periodista, funcionario, fue gobernador de la Provincia de Córdoba entre 1816/17, siendo el referido  Vélez Sarsfield, el primer defensor del Gral. Güemes en una ardua polémica con Mitre allá por 1864;</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en conmemoración de éste Bicentenario, es necesario, oportuno y conveniente rendir justo y merecido homenaje al paladín de la acción integradora regional, ferviente defensor del federalismo y uno de los principales detractores del por entonces centralismo portuario;</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 xml:space="preserve">Que analizado el Proyecto de Ordenanza por la totalidad de los Concejales Presentes, de decide, por unanimidad, su aprobación en Sesión Ordinaria del día 31 de Marzo de 2010.- </w:t>
      </w:r>
    </w:p>
    <w:p>
      <w:pPr>
        <w:jc w:val="center"/>
        <w:rPr>
          <w:rStyle w:val="C3"/>
          <w:rFonts w:ascii="Courier New" w:hAnsi="Courier New"/>
          <w:b w:val="1"/>
        </w:rPr>
      </w:pPr>
    </w:p>
    <w:p>
      <w:pPr>
        <w:jc w:val="center"/>
        <w:rPr>
          <w:rStyle w:val="C3"/>
          <w:rFonts w:ascii="Courier New" w:hAnsi="Courier New"/>
          <w:b w:val="1"/>
        </w:rPr>
      </w:pPr>
    </w:p>
    <w:p>
      <w:pPr>
        <w:jc w:val="center"/>
        <w:rPr>
          <w:rStyle w:val="C3"/>
          <w:rFonts w:ascii="Courier New" w:hAnsi="Courier New"/>
          <w:b w:val="1"/>
        </w:rPr>
      </w:pPr>
      <w:r>
        <w:rPr>
          <w:rStyle w:val="C3"/>
          <w:rFonts w:ascii="Courier New" w:hAnsi="Courier New"/>
          <w:b w:val="1"/>
        </w:rPr>
        <w:t>EL HONORABLE CONCEJO DELIBERANTE DE LA CIUDAD DE</w:t>
      </w:r>
    </w:p>
    <w:p>
      <w:pPr>
        <w:jc w:val="center"/>
        <w:rPr>
          <w:rStyle w:val="C3"/>
          <w:rFonts w:ascii="Courier New" w:hAnsi="Courier New"/>
          <w:b w:val="1"/>
        </w:rPr>
      </w:pPr>
    </w:p>
    <w:p>
      <w:pPr>
        <w:pStyle w:val="P12"/>
        <w:ind w:left="561"/>
        <w:rPr>
          <w:rStyle w:val="C3"/>
          <w:b w:val="1"/>
        </w:rPr>
      </w:pPr>
      <w:r>
        <w:rPr>
          <w:rStyle w:val="C3"/>
          <w:b w:val="1"/>
        </w:rPr>
        <w:t xml:space="preserve">    ALTA GRACIA SANCIONA CON FUERZA DE ORDENANZA</w:t>
      </w:r>
    </w:p>
    <w:p>
      <w:pPr>
        <w:pStyle w:val="P12"/>
        <w:ind w:left="561"/>
        <w:rPr>
          <w:rStyle w:val="C3"/>
          <w:b w:val="1"/>
        </w:rPr>
      </w:pPr>
    </w:p>
    <w:p>
      <w:pPr>
        <w:pStyle w:val="P12"/>
        <w:ind w:left="561"/>
        <w:jc w:val="right"/>
      </w:pPr>
      <w:r>
        <w:t>...///</w:t>
      </w:r>
    </w:p>
    <w:p>
      <w:pPr>
        <w:ind w:hanging="561" w:left="561"/>
        <w:jc w:val="both"/>
        <w:rPr>
          <w:rStyle w:val="C3"/>
          <w:rFonts w:ascii="Courier New" w:hAnsi="Courier New"/>
          <w:b w:val="1"/>
          <w:u w:val="single"/>
        </w:rPr>
      </w:pPr>
    </w:p>
    <w:p>
      <w:pPr>
        <w:ind w:hanging="561" w:left="561"/>
        <w:jc w:val="both"/>
        <w:rPr>
          <w:rStyle w:val="C3"/>
          <w:rFonts w:ascii="Courier New" w:hAnsi="Courier New"/>
          <w:b w:val="1"/>
          <w:u w:val="single"/>
        </w:rPr>
      </w:pPr>
    </w:p>
    <w:p>
      <w:pPr>
        <w:ind w:hanging="561" w:left="561"/>
        <w:jc w:val="both"/>
        <w:rPr>
          <w:rStyle w:val="C3"/>
          <w:rFonts w:ascii="Courier New" w:hAnsi="Courier New"/>
          <w:b w:val="1"/>
          <w:u w:val="single"/>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“2010 Año del Bicentenario de la Revolución de Mayo”</w:t>
      </w:r>
    </w:p>
    <w:p>
      <w:pPr>
        <w:pStyle w:val="P16"/>
        <w:ind w:left="113"/>
        <w:jc w:val="center"/>
        <w:rPr>
          <w:rStyle w:val="C3"/>
          <w:rFonts w:ascii="JaneAusten" w:hAnsi="JaneAusten"/>
          <w:b w:val="1"/>
          <w:sz w:val="24"/>
        </w:rPr>
      </w:pPr>
    </w:p>
    <w:p>
      <w:pPr>
        <w:pStyle w:val="P16"/>
        <w:ind w:left="113"/>
        <w:rPr>
          <w:rStyle w:val="C3"/>
          <w:rFonts w:ascii="Courier New" w:hAnsi="Courier New"/>
          <w:b w:val="1"/>
          <w:sz w:val="24"/>
        </w:rPr>
      </w:pPr>
    </w:p>
    <w:p>
      <w:pPr>
        <w:pStyle w:val="P16"/>
        <w:ind w:left="113"/>
        <w:rPr>
          <w:rStyle w:val="C3"/>
          <w:rFonts w:ascii="Courier New" w:hAnsi="Courier New"/>
          <w:b w:val="1"/>
          <w:sz w:val="24"/>
        </w:rPr>
      </w:pPr>
      <w:r>
        <w:rPr>
          <w:rStyle w:val="C3"/>
          <w:rFonts w:ascii="Courier New" w:hAnsi="Courier New"/>
          <w:b w:val="0"/>
          <w:sz w:val="24"/>
        </w:rPr>
        <w:t>...///</w:t>
      </w:r>
      <w:r>
        <w:rPr>
          <w:rStyle w:val="C3"/>
          <w:rFonts w:ascii="Courier New" w:hAnsi="Courier New"/>
          <w:b w:val="0"/>
          <w:sz w:val="24"/>
        </w:rPr>
        <w:t>3</w:t>
      </w:r>
      <w:r>
        <w:rPr>
          <w:rStyle w:val="C3"/>
          <w:rFonts w:ascii="Courier New" w:hAnsi="Courier New"/>
          <w:b w:val="0"/>
          <w:sz w:val="24"/>
        </w:rPr>
        <w:t>.-</w:t>
      </w:r>
    </w:p>
    <w:p>
      <w:pPr>
        <w:ind w:hanging="561" w:left="561"/>
        <w:jc w:val="both"/>
        <w:rPr>
          <w:rStyle w:val="C3"/>
          <w:rFonts w:ascii="Courier New" w:hAnsi="Courier New"/>
          <w:b w:val="1"/>
          <w:u w:val="single"/>
        </w:rPr>
      </w:pPr>
    </w:p>
    <w:p>
      <w:pPr>
        <w:ind w:hanging="374" w:left="374"/>
        <w:jc w:val="both"/>
        <w:rPr>
          <w:rStyle w:val="C3"/>
          <w:rFonts w:ascii="Courier New" w:hAnsi="Courier New"/>
        </w:rPr>
      </w:pPr>
      <w:r>
        <w:rPr>
          <w:rStyle w:val="C3"/>
          <w:rFonts w:ascii="Courier New" w:hAnsi="Courier New"/>
          <w:b w:val="1"/>
          <w:u w:val="single"/>
        </w:rPr>
        <w:t>Art.1</w:t>
      </w:r>
      <w:r>
        <w:rPr>
          <w:rStyle w:val="C3"/>
          <w:rFonts w:ascii="Courier New" w:hAnsi="Courier New"/>
          <w:b w:val="1"/>
        </w:rPr>
        <w:t>:</w:t>
      </w:r>
      <w:r>
        <w:rPr>
          <w:rStyle w:val="C3"/>
          <w:rFonts w:ascii="Courier New" w:hAnsi="Courier New"/>
        </w:rPr>
        <w:t xml:space="preserve"> </w:t>
      </w:r>
      <w:r>
        <w:rPr>
          <w:rStyle w:val="C3"/>
          <w:rFonts w:ascii="Courier New" w:hAnsi="Courier New"/>
          <w:b w:val="1"/>
        </w:rPr>
        <w:t xml:space="preserve">DESIGNASE </w:t>
      </w:r>
      <w:r>
        <w:rPr>
          <w:rStyle w:val="C3"/>
          <w:rFonts w:ascii="Courier New" w:hAnsi="Courier New"/>
        </w:rPr>
        <w:t>con el nombre de calle “Gral. Martín Miguel de Güemes” a la actual calle pública sin nombre, que va desde la intersección de la misma con el camino al Valle de la Buena Esperanza al Oeste, continuando con su concurrencia con ruta provincial N C45 y hasta su fin con la Ruta Provincial N° 5, al este.-</w:t>
      </w:r>
    </w:p>
    <w:p>
      <w:pPr>
        <w:jc w:val="both"/>
        <w:rPr>
          <w:rStyle w:val="C3"/>
          <w:rFonts w:ascii="Courier New" w:hAnsi="Courier New"/>
        </w:rPr>
      </w:pPr>
    </w:p>
    <w:p>
      <w:pPr>
        <w:ind w:hanging="374" w:left="374"/>
        <w:jc w:val="both"/>
        <w:rPr>
          <w:rStyle w:val="C3"/>
          <w:rFonts w:ascii="Courier New" w:hAnsi="Courier New"/>
        </w:rPr>
      </w:pPr>
      <w:r>
        <w:rPr>
          <w:rStyle w:val="C3"/>
          <w:rFonts w:ascii="Courier New" w:hAnsi="Courier New"/>
          <w:b w:val="1"/>
          <w:u w:val="single"/>
        </w:rPr>
        <w:t>Art.2</w:t>
      </w:r>
      <w:r>
        <w:rPr>
          <w:rStyle w:val="C3"/>
          <w:rFonts w:ascii="Courier New" w:hAnsi="Courier New"/>
          <w:b w:val="1"/>
        </w:rPr>
        <w:t xml:space="preserve">: </w:t>
      </w:r>
      <w:r>
        <w:rPr>
          <w:rStyle w:val="C3"/>
          <w:rFonts w:ascii="Courier New" w:hAnsi="Courier New"/>
          <w:b w:val="1"/>
        </w:rPr>
        <w:t xml:space="preserve">ERÍJASE </w:t>
      </w:r>
      <w:r>
        <w:rPr>
          <w:rStyle w:val="C3"/>
          <w:rFonts w:ascii="Courier New" w:hAnsi="Courier New"/>
        </w:rPr>
        <w:t xml:space="preserve">en el futuro distribuidor de transito a construirse en la intersección de la ruta provincial N°C45 con  el actual tramo de enlace para transito pesado C45/5, un monumento u obra escultórica, a cuyo fin se colocará en el mismo una placa alusiva e identificatoria.- </w:t>
      </w:r>
    </w:p>
    <w:p>
      <w:pPr>
        <w:jc w:val="both"/>
        <w:rPr>
          <w:rStyle w:val="C3"/>
          <w:rFonts w:ascii="Courier New" w:hAnsi="Courier New"/>
        </w:rPr>
      </w:pPr>
    </w:p>
    <w:p>
      <w:pPr>
        <w:ind w:hanging="374" w:left="374"/>
        <w:jc w:val="both"/>
        <w:rPr>
          <w:rStyle w:val="C3"/>
          <w:rFonts w:ascii="Courier New" w:hAnsi="Courier New"/>
        </w:rPr>
      </w:pPr>
      <w:r>
        <w:rPr>
          <w:rStyle w:val="C3"/>
          <w:rFonts w:ascii="Courier New" w:hAnsi="Courier New"/>
          <w:b w:val="1"/>
          <w:u w:val="single"/>
        </w:rPr>
        <w:t>Art.3</w:t>
      </w:r>
      <w:r>
        <w:rPr>
          <w:rStyle w:val="C3"/>
          <w:rFonts w:ascii="Courier New" w:hAnsi="Courier New"/>
          <w:b w:val="1"/>
        </w:rPr>
        <w:t xml:space="preserve">: EL </w:t>
      </w:r>
      <w:r>
        <w:rPr>
          <w:rStyle w:val="C3"/>
          <w:rFonts w:ascii="Courier New" w:hAnsi="Courier New"/>
        </w:rPr>
        <w:t xml:space="preserve">Departamento Ejecutivo en un todo de acuerdo a lo establecido en la Ordenanza Nº 4130, deberá tomar los recaudos necesarios a fin de que los vecinos que tengan residencia  en la referida arteria, no se vean afectados económicamente ante el trámite de actualización de domicilio, siempre que el mismo sea provocado por lo dispuesto en la presente Ordenanza.-</w:t>
      </w:r>
    </w:p>
    <w:p>
      <w:pPr>
        <w:jc w:val="both"/>
        <w:rPr>
          <w:rStyle w:val="C3"/>
          <w:rFonts w:ascii="Courier New" w:hAnsi="Courier New"/>
        </w:rPr>
      </w:pPr>
    </w:p>
    <w:p>
      <w:pPr>
        <w:ind w:hanging="374" w:left="374"/>
        <w:jc w:val="both"/>
        <w:rPr>
          <w:rStyle w:val="C3"/>
          <w:rFonts w:ascii="Courier New" w:hAnsi="Courier New"/>
        </w:rPr>
      </w:pPr>
      <w:r>
        <w:rPr>
          <w:rStyle w:val="C3"/>
          <w:rFonts w:ascii="Courier New" w:hAnsi="Courier New"/>
          <w:b w:val="1"/>
          <w:u w:val="single"/>
        </w:rPr>
        <w:t>Art.4</w:t>
      </w:r>
      <w:r>
        <w:rPr>
          <w:rStyle w:val="C3"/>
          <w:rFonts w:ascii="Courier New" w:hAnsi="Courier New"/>
          <w:b w:val="1"/>
        </w:rPr>
        <w:t xml:space="preserve">: FACÚLTASE </w:t>
      </w:r>
      <w:r>
        <w:rPr>
          <w:rStyle w:val="C3"/>
          <w:rFonts w:ascii="Courier New" w:hAnsi="Courier New"/>
        </w:rPr>
        <w:t>al Departamento Ejecutivo, a través de las Áreas Técnicas correspondientes,</w:t>
      </w:r>
      <w:r>
        <w:rPr>
          <w:rStyle w:val="C3"/>
          <w:rFonts w:ascii="Courier New" w:hAnsi="Courier New"/>
          <w:b w:val="1"/>
        </w:rPr>
        <w:t xml:space="preserve"> </w:t>
      </w:r>
      <w:r>
        <w:rPr>
          <w:rStyle w:val="C3"/>
          <w:rFonts w:ascii="Courier New" w:hAnsi="Courier New"/>
        </w:rPr>
        <w:t xml:space="preserve">adecuar y/o incorporar, la señalización  vertical necesaria, a los fines de la concreción de lo implementado en el Art.1º de la presente Ordenanza.-</w:t>
      </w:r>
    </w:p>
    <w:p>
      <w:pPr>
        <w:jc w:val="both"/>
        <w:rPr>
          <w:rStyle w:val="C3"/>
          <w:rFonts w:ascii="Courier New" w:hAnsi="Courier New"/>
          <w:b w:val="1"/>
          <w:u w:val="single"/>
        </w:rPr>
      </w:pPr>
    </w:p>
    <w:p>
      <w:pPr>
        <w:ind w:hanging="374" w:left="374"/>
        <w:jc w:val="both"/>
        <w:rPr>
          <w:rStyle w:val="C3"/>
          <w:rFonts w:ascii="Courier New" w:hAnsi="Courier New"/>
        </w:rPr>
      </w:pPr>
      <w:r>
        <w:rPr>
          <w:rStyle w:val="C3"/>
          <w:rFonts w:ascii="Courier New" w:hAnsi="Courier New"/>
          <w:b w:val="1"/>
          <w:u w:val="single"/>
        </w:rPr>
        <w:t>Art.5</w:t>
      </w:r>
      <w:r>
        <w:rPr>
          <w:rStyle w:val="C3"/>
          <w:rFonts w:ascii="Courier New" w:hAnsi="Courier New"/>
          <w:b w:val="1"/>
        </w:rPr>
        <w:t xml:space="preserve">: LOS </w:t>
      </w:r>
      <w:r>
        <w:rPr>
          <w:rStyle w:val="C3"/>
          <w:rFonts w:ascii="Courier New" w:hAnsi="Courier New"/>
        </w:rPr>
        <w:t>gastos que demande el cumplimiento de la presente Ordenanza, en lo relativo a los preceptos 2,3 y 4, deben imputarse a la Partida Presupuestaria correspondiente.-</w:t>
      </w:r>
    </w:p>
    <w:p>
      <w:pPr>
        <w:jc w:val="both"/>
        <w:rPr>
          <w:rStyle w:val="C3"/>
          <w:rFonts w:ascii="Courier New" w:hAnsi="Courier New"/>
        </w:rPr>
      </w:pPr>
    </w:p>
    <w:p>
      <w:pPr>
        <w:ind w:hanging="374" w:left="374"/>
        <w:jc w:val="both"/>
        <w:rPr>
          <w:rStyle w:val="C3"/>
          <w:rFonts w:ascii="Courier New" w:hAnsi="Courier New"/>
        </w:rPr>
      </w:pPr>
      <w:r>
        <w:rPr>
          <w:rStyle w:val="C3"/>
          <w:rFonts w:ascii="Courier New" w:hAnsi="Courier New"/>
          <w:b w:val="1"/>
          <w:u w:val="single"/>
        </w:rPr>
        <w:t>Art.6</w:t>
      </w:r>
      <w:r>
        <w:rPr>
          <w:rStyle w:val="C3"/>
          <w:rFonts w:ascii="Courier New" w:hAnsi="Courier New"/>
          <w:b w:val="1"/>
        </w:rPr>
        <w:t xml:space="preserve">: PROCÉDASE </w:t>
      </w:r>
      <w:r>
        <w:rPr>
          <w:rStyle w:val="C3"/>
          <w:rFonts w:ascii="Courier New" w:hAnsi="Courier New"/>
        </w:rPr>
        <w:t>por Sección Catastro a tomar razón de lo dispuesto en la presente Ordenanza.-</w:t>
      </w:r>
    </w:p>
    <w:p>
      <w:pPr>
        <w:pStyle w:val="P20"/>
        <w:ind w:hanging="709" w:left="709"/>
        <w:jc w:val="both"/>
        <w:rPr>
          <w:rStyle w:val="C3"/>
          <w:sz w:val="24"/>
        </w:rPr>
      </w:pPr>
    </w:p>
    <w:p>
      <w:pPr>
        <w:pStyle w:val="P20"/>
        <w:ind w:hanging="561" w:left="561"/>
        <w:jc w:val="right"/>
        <w:rPr>
          <w:rStyle w:val="C3"/>
          <w:sz w:val="24"/>
        </w:rPr>
      </w:pPr>
      <w:bookmarkStart w:id="0" w:name="OLE_LINK1"/>
      <w:bookmarkStart w:id="1" w:name="OLE_LINK2"/>
      <w:r>
        <w:rPr>
          <w:rStyle w:val="C3"/>
          <w:sz w:val="24"/>
        </w:rPr>
        <w:t>...///</w:t>
      </w:r>
    </w:p>
    <w:p>
      <w:pPr>
        <w:pStyle w:val="P20"/>
        <w:ind w:hanging="561" w:left="561"/>
        <w:jc w:val="both"/>
        <w:rPr>
          <w:rStyle w:val="C3"/>
          <w:b w:val="1"/>
          <w:sz w:val="24"/>
          <w:u w:val="single"/>
        </w:rPr>
      </w:pPr>
    </w:p>
    <w:p>
      <w:pPr>
        <w:pStyle w:val="P20"/>
        <w:ind w:hanging="561" w:left="561"/>
        <w:jc w:val="both"/>
        <w:rPr>
          <w:rStyle w:val="C3"/>
          <w:b w:val="1"/>
          <w:sz w:val="24"/>
          <w:u w:val="single"/>
        </w:rPr>
      </w:pPr>
    </w:p>
    <w:p>
      <w:pPr>
        <w:pStyle w:val="P20"/>
        <w:ind w:hanging="561" w:left="561"/>
        <w:jc w:val="both"/>
        <w:rPr>
          <w:rStyle w:val="C3"/>
          <w:b w:val="1"/>
          <w:sz w:val="24"/>
          <w:u w:val="single"/>
        </w:rPr>
      </w:pPr>
    </w:p>
    <w:p>
      <w:pPr>
        <w:pStyle w:val="P20"/>
        <w:ind w:hanging="561" w:left="561"/>
        <w:jc w:val="both"/>
        <w:rPr>
          <w:rStyle w:val="C3"/>
          <w:b w:val="1"/>
          <w:sz w:val="24"/>
          <w:u w:val="single"/>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“2010 Año del Bicentenario de la Revolución de Mayo”</w:t>
      </w:r>
    </w:p>
    <w:p>
      <w:pPr>
        <w:pStyle w:val="P16"/>
        <w:ind w:left="113"/>
        <w:rPr>
          <w:rStyle w:val="C3"/>
          <w:rFonts w:ascii="Courier New" w:hAnsi="Courier New"/>
          <w:b w:val="1"/>
          <w:sz w:val="24"/>
        </w:rPr>
      </w:pPr>
    </w:p>
    <w:p>
      <w:pPr>
        <w:pStyle w:val="P16"/>
        <w:ind w:left="113"/>
        <w:rPr>
          <w:rStyle w:val="C3"/>
          <w:rFonts w:ascii="Courier New" w:hAnsi="Courier New"/>
          <w:b w:val="1"/>
          <w:sz w:val="24"/>
        </w:rPr>
      </w:pPr>
    </w:p>
    <w:p>
      <w:pPr>
        <w:pStyle w:val="P16"/>
        <w:rPr>
          <w:rStyle w:val="C3"/>
          <w:rFonts w:ascii="Courier New" w:hAnsi="Courier New"/>
          <w:b w:val="1"/>
          <w:sz w:val="24"/>
        </w:rPr>
      </w:pPr>
      <w:r>
        <w:rPr>
          <w:rStyle w:val="C3"/>
          <w:rFonts w:ascii="Courier New" w:hAnsi="Courier New"/>
          <w:b w:val="0"/>
          <w:sz w:val="24"/>
        </w:rPr>
        <w:t>...///</w:t>
      </w:r>
      <w:r>
        <w:rPr>
          <w:rStyle w:val="C3"/>
          <w:rFonts w:ascii="Courier New" w:hAnsi="Courier New"/>
          <w:b w:val="0"/>
          <w:sz w:val="24"/>
        </w:rPr>
        <w:t>4</w:t>
      </w:r>
      <w:r>
        <w:rPr>
          <w:rStyle w:val="C3"/>
          <w:rFonts w:ascii="Courier New" w:hAnsi="Courier New"/>
          <w:b w:val="0"/>
          <w:sz w:val="24"/>
        </w:rPr>
        <w:t>.-</w:t>
      </w:r>
    </w:p>
    <w:p>
      <w:pPr>
        <w:pStyle w:val="P20"/>
        <w:ind w:hanging="561" w:left="561"/>
        <w:jc w:val="both"/>
        <w:rPr>
          <w:rStyle w:val="C3"/>
          <w:b w:val="1"/>
          <w:sz w:val="24"/>
          <w:u w:val="single"/>
        </w:rPr>
      </w:pPr>
    </w:p>
    <w:p>
      <w:pPr>
        <w:pStyle w:val="P20"/>
        <w:ind w:hanging="561" w:left="561"/>
        <w:jc w:val="both"/>
        <w:rPr>
          <w:rStyle w:val="C3"/>
          <w:sz w:val="24"/>
        </w:rPr>
      </w:pPr>
      <w:r>
        <w:rPr>
          <w:rStyle w:val="C3"/>
          <w:b w:val="1"/>
          <w:sz w:val="24"/>
          <w:u w:val="single"/>
        </w:rPr>
        <w:t>Art.7</w:t>
      </w:r>
      <w:r>
        <w:rPr>
          <w:rStyle w:val="C3"/>
          <w:b w:val="1"/>
          <w:sz w:val="24"/>
        </w:rPr>
        <w:t xml:space="preserve">: </w:t>
      </w:r>
      <w:bookmarkEnd w:id="0"/>
      <w:bookmarkEnd w:id="1"/>
      <w:r>
        <w:rPr>
          <w:rStyle w:val="C3"/>
          <w:b w:val="1"/>
          <w:sz w:val="24"/>
        </w:rPr>
        <w:t xml:space="preserve">LA </w:t>
      </w:r>
      <w:r>
        <w:rPr>
          <w:rStyle w:val="C3"/>
          <w:sz w:val="24"/>
        </w:rPr>
        <w:t xml:space="preserve">presente Ordenanza entrará en vigencia en la fecha  que se dicte su Decreto Promulgatorio, en un todo de conformidad a lo establecido en el Art.24° de la Carta Orgánica Municipal.-</w:t>
      </w:r>
    </w:p>
    <w:p>
      <w:pPr>
        <w:pStyle w:val="P20"/>
        <w:ind w:hanging="1" w:left="709"/>
        <w:jc w:val="both"/>
        <w:rPr>
          <w:rStyle w:val="C3"/>
          <w:sz w:val="24"/>
        </w:rPr>
      </w:pPr>
    </w:p>
    <w:p>
      <w:pPr>
        <w:pStyle w:val="P20"/>
        <w:ind w:hanging="561" w:left="561"/>
        <w:jc w:val="both"/>
        <w:rPr>
          <w:rStyle w:val="C3"/>
          <w:sz w:val="24"/>
        </w:rPr>
      </w:pPr>
      <w:r>
        <w:rPr>
          <w:rStyle w:val="C3"/>
          <w:b w:val="1"/>
          <w:sz w:val="24"/>
          <w:u w:val="single"/>
        </w:rPr>
        <w:t>Art.8</w:t>
      </w:r>
      <w:r>
        <w:rPr>
          <w:rStyle w:val="C3"/>
          <w:b w:val="1"/>
          <w:sz w:val="24"/>
        </w:rPr>
        <w:t>: NOTIFÍQUESE</w:t>
      </w:r>
      <w:r>
        <w:rPr>
          <w:rStyle w:val="C3"/>
          <w:sz w:val="24"/>
        </w:rPr>
        <w:t xml:space="preserve"> en particular a las oficinas postales públicas y privadas de los cambios que implique la aplicación de la presente Ordenanza.-</w:t>
      </w:r>
    </w:p>
    <w:p>
      <w:pPr>
        <w:ind w:hanging="363" w:left="374"/>
        <w:jc w:val="both"/>
        <w:rPr>
          <w:rStyle w:val="C3"/>
          <w:rFonts w:ascii="Courier New" w:hAnsi="Courier New"/>
        </w:rPr>
      </w:pPr>
    </w:p>
    <w:p>
      <w:pPr>
        <w:pStyle w:val="P20"/>
        <w:ind w:hanging="374" w:left="374"/>
        <w:jc w:val="both"/>
        <w:rPr>
          <w:rStyle w:val="C3"/>
          <w:sz w:val="24"/>
        </w:rPr>
      </w:pPr>
      <w:r>
        <w:rPr>
          <w:rStyle w:val="C3"/>
          <w:b w:val="1"/>
          <w:sz w:val="24"/>
          <w:u w:val="single"/>
        </w:rPr>
        <w:t>Art.</w:t>
      </w:r>
      <w:r>
        <w:rPr>
          <w:rStyle w:val="C3"/>
          <w:b w:val="1"/>
          <w:sz w:val="24"/>
          <w:u w:val="single"/>
        </w:rPr>
        <w:t>9</w:t>
      </w:r>
      <w:r>
        <w:rPr>
          <w:rStyle w:val="C3"/>
          <w:b w:val="1"/>
          <w:sz w:val="24"/>
        </w:rPr>
        <w:t>: PROTOCOLÍCESE,</w:t>
      </w:r>
      <w:r>
        <w:rPr>
          <w:rStyle w:val="C3"/>
          <w:sz w:val="24"/>
        </w:rPr>
        <w:t xml:space="preserve"> comuníquese, publíquese en el Boletín Oficial de la ciudad de Alta Gracia, incorpórese al Libro de Ordenanzas y archívese.- </w:t>
      </w:r>
    </w:p>
    <w:p>
      <w:pPr>
        <w:pStyle w:val="P20"/>
        <w:jc w:val="both"/>
        <w:rPr>
          <w:rStyle w:val="C3"/>
          <w:sz w:val="24"/>
        </w:rPr>
      </w:pPr>
    </w:p>
    <w:p>
      <w:pPr>
        <w:pStyle w:val="P20"/>
        <w:tabs>
          <w:tab w:val="left" w:pos="1460" w:leader="none"/>
        </w:tabs>
        <w:jc w:val="both"/>
      </w:pPr>
      <w:r>
        <w:tab/>
      </w:r>
    </w:p>
    <w:p>
      <w:pPr>
        <w:pStyle w:val="P17"/>
      </w:pPr>
      <w:r>
        <w:t xml:space="preserve">DADA EN LA SALA DE SESIONES DEL HONORABLE CONCEJO DELIBERANTE A LOS TREINTA Y UN DÍAS DEL MES DE MARZO DEL AÑO DOS MIL DIEZ.- </w:t>
      </w:r>
    </w:p>
    <w:sectPr>
      <w:type w:val="nextPage"/>
      <w:pgSz w:w="11906" w:h="16838" w:code="0"/>
      <w:pgMar w:left="1701" w:right="1701" w:top="1418" w:bottom="1418" w:header="720" w:footer="720" w:gutter="0"/>
    </w:sectPr>
  </w:body>
</w:document>
</file>

<file path=word/numbering.xml><?xml version="1.0" encoding="utf-8"?>
<w:numbering xmlns:w="http://schemas.openxmlformats.org/wordprocessingml/2006/main">
  <w:abstractNum w:abstractNumId="0">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2">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num w:numId="1">
    <w:abstractNumId w:val="2"/>
  </w:num>
  <w:num w:numId="2">
    <w:abstractNumId w:val="0"/>
  </w:num>
  <w:num w:numId="3">
    <w:abstractNumId w:val="1"/>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qFormat/>
    <w:rPr>
      <w:b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2010-03-31T11:58:00Z</dcterms:created>
  <cp:lastModifiedBy>Ethan Puglia</cp:lastModifiedBy>
  <cp:lastPrinted>2010-03-31T14:47:00Z</cp:lastPrinted>
  <dcterms:modified xsi:type="dcterms:W3CDTF">2019-03-28T17:34:19Z</dcterms:modified>
  <cp:revision>11</cp:revision>
  <dc:title>PROYECTO DE ORDENANZA VIOLENCIA FAMILIAR</dc:title>
</cp:coreProperties>
</file>