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4"/>
        <w:rPr>
          <w:rFonts w:ascii="Courier New" w:hAnsi="Courier New"/>
        </w:rPr>
      </w:pPr>
      <w:r>
        <w:rPr>
          <w:rFonts w:ascii="Courier New" w:hAnsi="Courier New"/>
        </w:rPr>
        <w:t xml:space="preserve">ORDENANZA  Nº  6127</w:t>
      </w:r>
    </w:p>
    <w:p>
      <w:pPr>
        <w:pStyle w:val="P4"/>
        <w:rPr>
          <w:rFonts w:ascii="Courier New" w:hAnsi="Courier New"/>
          <w:color w:val="000000"/>
        </w:rPr>
      </w:pPr>
    </w:p>
    <w:p>
      <w:pPr>
        <w:pStyle w:val="P5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>Visto: El Expediente Nº 1025/02 iniciado por el Sr. Esteban Guzmán solicitando exención de Tasa por Servicios de Administración y Mantenimiento de los Cementerios; y</w:t>
      </w:r>
    </w:p>
    <w:p>
      <w:pPr>
        <w:pStyle w:val="P5"/>
        <w:rPr>
          <w:rFonts w:ascii="Courier New" w:hAnsi="Courier New"/>
        </w:rPr>
      </w:pPr>
    </w:p>
    <w:p>
      <w:pPr>
        <w:pStyle w:val="P1"/>
        <w:rPr>
          <w:rFonts w:ascii="Courier New" w:hAnsi="Courier New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/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>Que el solicitante es una persona mayor que no cuenta con jubilación ni pensión, subsistiendo de trabajos precarios;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>Que evaluado el contenido del Expediente por Comisión de Hacienda, la misma emite despacho accediendo a otorgar una exención parcial, despacho aprobado por unanimidad en Sesión de fecha 27 de marzo de 2003.</w:t>
      </w:r>
    </w:p>
    <w:p>
      <w:pPr>
        <w:pStyle w:val="P6"/>
        <w:rPr>
          <w:rFonts w:ascii="Courier New" w:hAnsi="Courier New"/>
        </w:rPr>
      </w:pPr>
    </w:p>
    <w:p>
      <w:pPr>
        <w:pStyle w:val="P1"/>
        <w:rPr>
          <w:rFonts w:ascii="Courier New" w:hAnsi="Courier New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>ALTA GRACIA SANCIONA CON FUERZA DE ORDENANZA</w:t>
      </w: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Art.1: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  <w:r>
        <w:rPr>
          <w:rFonts w:ascii="Courier New" w:hAnsi="Courier New"/>
          <w:b w:val="1"/>
          <w:bCs w:val="1"/>
          <w:sz w:val="24"/>
          <w:szCs w:val="24"/>
        </w:rPr>
        <w:t>E</w:t>
      </w:r>
      <w:r>
        <w:rPr>
          <w:rFonts w:ascii="Courier New" w:hAnsi="Courier New"/>
          <w:b w:val="1"/>
          <w:bCs w:val="1"/>
          <w:sz w:val="24"/>
          <w:szCs w:val="24"/>
        </w:rPr>
        <w:t>X</w:t>
      </w:r>
      <w:r>
        <w:rPr>
          <w:rFonts w:ascii="Courier New" w:hAnsi="Courier New"/>
          <w:b w:val="1"/>
          <w:bCs w:val="1"/>
          <w:sz w:val="24"/>
          <w:szCs w:val="24"/>
        </w:rPr>
        <w:t>I</w:t>
      </w:r>
      <w:r>
        <w:rPr>
          <w:rFonts w:ascii="Courier New" w:hAnsi="Courier New"/>
          <w:b w:val="1"/>
          <w:bCs w:val="1"/>
          <w:sz w:val="24"/>
          <w:szCs w:val="24"/>
        </w:rPr>
        <w:t>M</w:t>
      </w:r>
      <w:r>
        <w:rPr>
          <w:rFonts w:ascii="Courier New" w:hAnsi="Courier New"/>
          <w:b w:val="1"/>
          <w:bCs w:val="1"/>
          <w:sz w:val="24"/>
          <w:szCs w:val="24"/>
        </w:rPr>
        <w:t>I</w:t>
      </w:r>
      <w:r>
        <w:rPr>
          <w:rFonts w:ascii="Courier New" w:hAnsi="Courier New"/>
          <w:b w:val="1"/>
          <w:bCs w:val="1"/>
          <w:sz w:val="24"/>
          <w:szCs w:val="24"/>
        </w:rPr>
        <w:t>R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  <w:r>
        <w:rPr>
          <w:rFonts w:ascii="Courier New" w:hAnsi="Courier New"/>
          <w:sz w:val="24"/>
          <w:szCs w:val="24"/>
        </w:rPr>
        <w:t>en un cincuenta por ciento (50%) la deuda que a la fecha mantiene con el Municipio el solicitante en concepto de Tasa por Servicios de Administración y Mantenimiento de los Cementerios, Identificación Nº 6812.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Art.2: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AUTORIZAR </w:t>
      </w:r>
      <w:r>
        <w:rPr>
          <w:rFonts w:ascii="Courier New" w:hAnsi="Courier New"/>
          <w:sz w:val="24"/>
          <w:szCs w:val="24"/>
        </w:rPr>
        <w:t xml:space="preserve">al Departamento Ejecutivo a conceder un plan  de pagos por el saldo no eximido, conforme a las Ordenanzas Vigentes.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</w:t>
      </w:r>
      <w:r>
        <w:rPr>
          <w:rFonts w:ascii="Courier New" w:hAnsi="Courier New"/>
          <w:b w:val="1"/>
          <w:bCs w:val="1"/>
          <w:sz w:val="24"/>
          <w:szCs w:val="24"/>
          <w:u w:val="single"/>
        </w:rPr>
        <w:t>3</w:t>
      </w:r>
      <w:r>
        <w:rPr>
          <w:rFonts w:ascii="Courier New" w:hAnsi="Courier New"/>
          <w:b w:val="1"/>
          <w:bCs w:val="1"/>
          <w:sz w:val="24"/>
          <w:szCs w:val="24"/>
          <w:u w:val="single"/>
        </w:rPr>
        <w:t>: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COMUNÍQUESE,</w:t>
      </w:r>
      <w:r>
        <w:rPr>
          <w:rFonts w:ascii="Courier New" w:hAnsi="Courier New"/>
          <w:sz w:val="24"/>
          <w:szCs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  <w:r>
        <w:rPr>
          <w:rFonts w:ascii="Courier New" w:hAnsi="Courier New"/>
        </w:rPr>
        <w:t>DADA EN LA SALA DE SESIONES DEL HONORABLE CONCEJO DELIBERANTE A VEINTISIETE DIAS DEL MES DE MARZO DEL AÑO DOS MIL TRES.</w:t>
      </w:r>
    </w:p>
    <w:sectPr>
      <w:type w:val="nextPage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Heading 1"/>
    <w:basedOn w:val="P0"/>
    <w:next w:val="P0"/>
    <w:pPr>
      <w:keepNext w:val="1"/>
      <w:ind w:left="709"/>
      <w:jc w:val="center"/>
      <w:outlineLvl w:val="0"/>
    </w:pPr>
    <w:rPr>
      <w:b w:val="1"/>
      <w:bCs w:val="1"/>
      <w:sz w:val="24"/>
      <w:szCs w:val="24"/>
    </w:rPr>
  </w:style>
  <w:style w:type="paragraph" w:styleId="P2">
    <w:name w:val="Header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Footer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itle"/>
    <w:basedOn w:val="P0"/>
    <w:next w:val="P4"/>
    <w:pPr>
      <w:jc w:val="center"/>
    </w:pPr>
    <w:rPr>
      <w:b w:val="1"/>
      <w:bCs w:val="1"/>
      <w:sz w:val="24"/>
      <w:szCs w:val="24"/>
      <w:u w:val="single"/>
    </w:rPr>
  </w:style>
  <w:style w:type="paragraph" w:styleId="P5">
    <w:name w:val="Body Text Indent"/>
    <w:basedOn w:val="P0"/>
    <w:next w:val="P5"/>
    <w:pPr>
      <w:ind w:hanging="709" w:left="709"/>
      <w:jc w:val="both"/>
    </w:pPr>
    <w:rPr>
      <w:sz w:val="24"/>
      <w:szCs w:val="24"/>
    </w:rPr>
  </w:style>
  <w:style w:type="paragraph" w:styleId="P6">
    <w:name w:val="Body Text Indent 2"/>
    <w:basedOn w:val="P0"/>
    <w:next w:val="P6"/>
    <w:pPr>
      <w:ind w:left="709"/>
      <w:jc w:val="both"/>
    </w:pPr>
    <w:rPr>
      <w:sz w:val="24"/>
      <w:szCs w:val="24"/>
    </w:rPr>
  </w:style>
  <w:style w:type="paragraph" w:styleId="P7">
    <w:name w:val="Body Text"/>
    <w:basedOn w:val="P0"/>
    <w:next w:val="P7"/>
    <w:pPr>
      <w:jc w:val="both"/>
    </w:pPr>
    <w:rPr>
      <w:b w:val="1"/>
      <w:bCs w:val="1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todos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2026-07-09T19:24:38Z</dcterms:created>
  <cp:lastModifiedBy>Federico Parisi</cp:lastModifiedBy>
  <cp:lastPrinted>2003-04-02T14:31:00Z</cp:lastPrinted>
  <dcterms:modified xsi:type="dcterms:W3CDTF">2026-07-09T19:24:38Z</dcterms:modified>
  <cp:revision>2</cp:revision>
  <dc:title>ORDENANZA  Nº  5354</dc:title>
</cp:coreProperties>
</file>