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9"/>
        <w:jc w:val="center"/>
        <w:rPr>
          <w:rFonts w:ascii="Courier New" w:hAnsi="Courier New"/>
          <w:b w:val="1"/>
          <w:bCs w:val="1"/>
          <w:u w:val="single"/>
        </w:rPr>
      </w:pPr>
      <w:r>
        <w:rPr>
          <w:rFonts w:ascii="Courier New" w:hAnsi="Courier New"/>
          <w:b w:val="1"/>
          <w:bCs w:val="1"/>
          <w:u w:val="single"/>
        </w:rPr>
        <w:t xml:space="preserve">ORDENANZA  Nº 6920</w:t>
      </w:r>
    </w:p>
    <w:p>
      <w:pPr>
        <w:pStyle w:val="P12"/>
      </w:pPr>
      <w:r>
        <w:rPr>
          <w:rFonts w:ascii="Garamond" w:hAnsi="Garamond"/>
          <w:b w:val="0"/>
          <w:bCs w:val="0"/>
        </w:rPr>
        <w:t xml:space="preserve"> </w:t>
      </w:r>
    </w:p>
    <w:p>
      <w:pPr>
        <w:pStyle w:val="P12"/>
      </w:pPr>
    </w:p>
    <w:p>
      <w:pPr>
        <w:pStyle w:val="P12"/>
      </w:pPr>
      <w:r>
        <w:t xml:space="preserve"> </w:t>
      </w:r>
    </w:p>
    <w:p>
      <w:pPr>
        <w:pStyle w:val="P8"/>
      </w:pPr>
      <w:r>
        <w:t>Visto: El Expediente Nº 473/I/02 iniciado por la Sra. Silvia Cecilia Bustos solicitando exención de los derechos de introducción de Administración y mantenimientos de los Cementerios</w:t>
      </w:r>
    </w:p>
    <w:p>
      <w:pPr>
        <w:rPr>
          <w:rFonts w:ascii="Courier New" w:hAnsi="Courier New"/>
          <w:sz w:val="24"/>
          <w:szCs w:val="24"/>
        </w:rPr>
      </w:pPr>
    </w:p>
    <w:p>
      <w:pPr>
        <w:pStyle w:val="P7"/>
      </w:pPr>
      <w:r>
        <w:t>C O N S I D E R A N D O</w:t>
      </w:r>
    </w:p>
    <w:p>
      <w:pPr>
        <w:rPr>
          <w:rFonts w:ascii="Courier New" w:hAnsi="Courier New"/>
          <w:b w:val="1"/>
          <w:i w:val="1"/>
          <w:bCs w:val="1"/>
          <w:iCs w:val="1"/>
          <w:sz w:val="24"/>
          <w:szCs w:val="24"/>
          <w:lang w:val="es-AR"/>
        </w:rPr>
      </w:pPr>
    </w:p>
    <w:p>
      <w:pPr>
        <w:rPr>
          <w:rFonts w:ascii="Courier New" w:hAnsi="Courier New"/>
          <w:b w:val="1"/>
          <w:i w:val="1"/>
          <w:bCs w:val="1"/>
          <w:iCs w:val="1"/>
          <w:sz w:val="24"/>
          <w:szCs w:val="24"/>
          <w:lang w:val="es-AR"/>
        </w:rPr>
      </w:pPr>
    </w:p>
    <w:p>
      <w:pPr>
        <w:pStyle w:val="P15"/>
      </w:pPr>
      <w:r>
        <w:t>Que la Ordenanza Nº 6865, establece un nuevo periodo de vigencia de los beneficios que otorgan las Ordenanzas N° 6416 y 5505;</w:t>
      </w:r>
    </w:p>
    <w:p>
      <w:pPr>
        <w:rPr>
          <w:rFonts w:ascii="Courier New" w:hAnsi="Courier New"/>
          <w:sz w:val="24"/>
          <w:szCs w:val="24"/>
          <w:lang w:val="es-AR"/>
        </w:rPr>
      </w:pPr>
    </w:p>
    <w:p>
      <w:pPr>
        <w:ind w:left="993"/>
        <w:jc w:val="both"/>
        <w:rPr>
          <w:rFonts w:ascii="Courier New" w:hAnsi="Courier New"/>
          <w:sz w:val="24"/>
          <w:szCs w:val="24"/>
        </w:rPr>
      </w:pPr>
      <w:r>
        <w:rPr>
          <w:rFonts w:ascii="Courier New" w:hAnsi="Courier New"/>
          <w:sz w:val="24"/>
          <w:szCs w:val="24"/>
        </w:rPr>
        <w:t xml:space="preserve">Que la Ordenanza N° 6865  autorizaban al Departamento Ejecutivo a percibir por parte de aquellos contribuyentes que cancelen la totalidad de la deuda hasta el periodo </w:t>
      </w:r>
      <w:r>
        <w:rPr>
          <w:rFonts w:ascii="Courier New" w:hAnsi="Courier New"/>
          <w:sz w:val="24"/>
          <w:szCs w:val="24"/>
          <w:u w:val="single"/>
        </w:rPr>
        <w:t>diciembre de 2003,</w:t>
      </w:r>
      <w:r>
        <w:rPr>
          <w:rFonts w:ascii="Courier New" w:hAnsi="Courier New"/>
          <w:sz w:val="24"/>
          <w:szCs w:val="24"/>
        </w:rPr>
        <w:t xml:space="preserve"> a valores históricos o mediante un plan especial de cancelación;</w:t>
      </w:r>
    </w:p>
    <w:p>
      <w:pPr>
        <w:rPr>
          <w:rFonts w:ascii="Courier New" w:hAnsi="Courier New"/>
          <w:sz w:val="24"/>
          <w:szCs w:val="24"/>
          <w:lang w:val="es-AR"/>
        </w:rPr>
      </w:pPr>
    </w:p>
    <w:p>
      <w:pPr>
        <w:pStyle w:val="P15"/>
      </w:pPr>
      <w:r>
        <w:t xml:space="preserve">Que los beneficios de estas normas se extienden hasta el día 26 de Abril de 2004, conforme lo establece la Ordenanza N° 6865;    </w:t>
      </w:r>
    </w:p>
    <w:p>
      <w:pPr>
        <w:rPr>
          <w:rFonts w:ascii="Courier New" w:hAnsi="Courier New"/>
          <w:sz w:val="24"/>
          <w:szCs w:val="24"/>
        </w:rPr>
      </w:pPr>
    </w:p>
    <w:p>
      <w:pPr>
        <w:pStyle w:val="P15"/>
      </w:pPr>
      <w:r>
        <w:t>Que se debe considerar la gran cantidad de contribuyentes que solicitan se mantenga la presente posibilidad;</w:t>
      </w:r>
    </w:p>
    <w:p>
      <w:pPr>
        <w:rPr>
          <w:rFonts w:ascii="Courier New" w:hAnsi="Courier New"/>
          <w:sz w:val="24"/>
          <w:szCs w:val="24"/>
        </w:rPr>
      </w:pPr>
    </w:p>
    <w:p>
      <w:pPr>
        <w:pStyle w:val="P15"/>
      </w:pPr>
      <w:r>
        <w:t xml:space="preserve">Que en virtud de esta vigencia se ha efectuado un cronograma de comunicaciones, intimaciones y control del cumplimiento de las obligaciones tributarias; </w:t>
      </w:r>
    </w:p>
    <w:p>
      <w:pPr>
        <w:rPr>
          <w:rFonts w:ascii="Courier New" w:hAnsi="Courier New"/>
          <w:sz w:val="24"/>
          <w:szCs w:val="24"/>
          <w:lang w:val="es-AR"/>
        </w:rPr>
      </w:pPr>
    </w:p>
    <w:p>
      <w:pPr>
        <w:pStyle w:val="P15"/>
      </w:pPr>
      <w:r>
        <w:t>Que hace necesario fijar nuevos plazos para los beneficios otorgados por estas Ordenanzas;</w:t>
      </w:r>
    </w:p>
    <w:p>
      <w:pPr>
        <w:rPr>
          <w:rFonts w:ascii="Courier New" w:hAnsi="Courier New"/>
          <w:b w:val="1"/>
          <w:i w:val="1"/>
          <w:bCs w:val="1"/>
          <w:iCs w:val="1"/>
          <w:sz w:val="24"/>
          <w:szCs w:val="24"/>
          <w:lang w:val="es-AR"/>
        </w:rPr>
      </w:pPr>
    </w:p>
    <w:p>
      <w:pPr>
        <w:ind w:left="993"/>
        <w:jc w:val="both"/>
        <w:rPr>
          <w:rFonts w:ascii="Courier New" w:hAnsi="Courier New"/>
          <w:sz w:val="24"/>
          <w:szCs w:val="24"/>
        </w:rPr>
      </w:pPr>
      <w:r>
        <w:rPr>
          <w:rFonts w:ascii="Courier New" w:hAnsi="Courier New"/>
          <w:sz w:val="24"/>
          <w:szCs w:val="24"/>
        </w:rPr>
        <w:t xml:space="preserve">Que la extensión del plazo de vigencia de estas formas de pago tienen por objeto permitir a un gran numero de contribuyentes la posibilidad de que durante la vigencia de la presente, puedan adecuar sus ingresos y así acceder a </w:t>
      </w:r>
      <w:r>
        <w:rPr>
          <w:rFonts w:ascii="Courier New" w:hAnsi="Courier New"/>
          <w:sz w:val="24"/>
          <w:szCs w:val="24"/>
          <w:u w:val="single"/>
        </w:rPr>
        <w:t>“regularizar totalmente</w:t>
      </w:r>
      <w:r>
        <w:rPr>
          <w:rFonts w:ascii="Courier New" w:hAnsi="Courier New"/>
          <w:sz w:val="24"/>
          <w:szCs w:val="24"/>
        </w:rPr>
        <w:t xml:space="preserve">” su situación, la cual a valores actualizados en la mayoría de los casos se torna muy improbable; </w:t>
      </w:r>
    </w:p>
    <w:p>
      <w:pPr>
        <w:rPr>
          <w:rFonts w:ascii="Courier New" w:hAnsi="Courier New"/>
          <w:sz w:val="24"/>
          <w:szCs w:val="24"/>
          <w:lang w:val="es-AR"/>
        </w:rPr>
      </w:pPr>
    </w:p>
    <w:p>
      <w:pPr>
        <w:pStyle w:val="P15"/>
        <w:rPr>
          <w:lang w:val="es-AR"/>
        </w:rPr>
      </w:pPr>
      <w:r>
        <w:rPr>
          <w:lang w:val="es-AR"/>
        </w:rPr>
        <w:t xml:space="preserve">Que no obstante la posibilidad de cancelar a valores históricos  (reducción del cien por ciento (100%) de </w:t>
      </w:r>
    </w:p>
    <w:p>
      <w:pPr>
        <w:pStyle w:val="P15"/>
        <w:jc w:val="right"/>
        <w:rPr>
          <w:lang w:val="es-AR"/>
        </w:rPr>
      </w:pPr>
      <w:r>
        <w:rPr>
          <w:lang w:val="es-AR"/>
        </w:rPr>
        <w:t>...///</w:t>
      </w:r>
    </w:p>
    <w:p>
      <w:pPr>
        <w:pStyle w:val="P15"/>
        <w:jc w:val="right"/>
        <w:rPr>
          <w:lang w:val="es-AR"/>
        </w:rPr>
      </w:pPr>
    </w:p>
    <w:p>
      <w:pPr>
        <w:pStyle w:val="P15"/>
        <w:jc w:val="right"/>
        <w:rPr>
          <w:lang w:val="es-AR"/>
        </w:rPr>
      </w:pPr>
    </w:p>
    <w:p>
      <w:pPr>
        <w:pStyle w:val="P15"/>
        <w:jc w:val="right"/>
        <w:rPr>
          <w:lang w:val="es-AR"/>
        </w:rPr>
      </w:pPr>
    </w:p>
    <w:p>
      <w:pPr>
        <w:pStyle w:val="P15"/>
        <w:jc w:val="right"/>
        <w:rPr>
          <w:lang w:val="es-AR"/>
        </w:rPr>
      </w:pPr>
    </w:p>
    <w:p>
      <w:pPr>
        <w:pStyle w:val="P15"/>
        <w:jc w:val="right"/>
        <w:rPr>
          <w:lang w:val="es-AR"/>
        </w:rPr>
      </w:pPr>
    </w:p>
    <w:p>
      <w:pPr>
        <w:pStyle w:val="P15"/>
        <w:ind w:hanging="993"/>
        <w:jc w:val="left"/>
        <w:rPr>
          <w:lang w:val="es-AR"/>
        </w:rPr>
      </w:pPr>
      <w:r>
        <w:rPr>
          <w:lang w:val="es-AR"/>
        </w:rPr>
        <w:t>...///2.-</w:t>
      </w:r>
    </w:p>
    <w:p>
      <w:pPr>
        <w:pStyle w:val="P15"/>
        <w:rPr>
          <w:lang w:val="es-AR"/>
        </w:rPr>
      </w:pPr>
    </w:p>
    <w:p>
      <w:pPr>
        <w:pStyle w:val="P15"/>
        <w:rPr>
          <w:lang w:val="es-AR"/>
        </w:rPr>
      </w:pPr>
    </w:p>
    <w:p>
      <w:pPr>
        <w:pStyle w:val="P15"/>
        <w:rPr>
          <w:lang w:val="es-AR"/>
        </w:rPr>
      </w:pPr>
    </w:p>
    <w:p>
      <w:pPr>
        <w:pStyle w:val="P15"/>
        <w:rPr>
          <w:lang w:val="es-AR"/>
        </w:rPr>
      </w:pPr>
      <w:r>
        <w:rPr>
          <w:lang w:val="es-AR"/>
        </w:rPr>
        <w:t>los intereses), se hace necesario contemplar a aquellos contribuyentes que no pueden abonar la totalidad de la deuda en un solo pago, para lo cual es posible considerar una reducción del cincuenta por ciento (50%) en los intereses para los que abonen en tres (3) cuotas y una reducción del treinta por ciento (30%) hasta seis (6) cuotas;</w:t>
      </w:r>
    </w:p>
    <w:p>
      <w:pPr>
        <w:rPr>
          <w:rFonts w:ascii="Courier New" w:hAnsi="Courier New"/>
          <w:sz w:val="24"/>
          <w:szCs w:val="24"/>
        </w:rPr>
      </w:pPr>
    </w:p>
    <w:p>
      <w:pPr>
        <w:pStyle w:val="P15"/>
      </w:pPr>
      <w:r>
        <w:t>Que el requisito de exigir a los contribuyentes que tengan abonados las cuotas vencidas en los doce meses anteriores a la cancelación a valores históricos tiende hacer más equitativa la norma, considerando a los contribuyentes que abonan puntualmente sus obligaciones, con la cual se busca crear la cultura del pago en término;</w:t>
      </w:r>
    </w:p>
    <w:p>
      <w:pPr>
        <w:rPr>
          <w:rFonts w:ascii="Courier New" w:hAnsi="Courier New"/>
          <w:sz w:val="24"/>
          <w:szCs w:val="24"/>
          <w:lang w:val="es-AR"/>
        </w:rPr>
      </w:pPr>
    </w:p>
    <w:p>
      <w:pPr>
        <w:pStyle w:val="P15"/>
      </w:pPr>
      <w:r>
        <w:t>Que considerando lo expuesto en el punto anterior, surge la necesidad de excluir de los beneficios de estas normas a las deudas que se encuentren en proceso judicial en los casos en que la causa se encuentre instancia de ejecución de sentencia con Anotación Preventiva de Subasta.</w:t>
      </w:r>
    </w:p>
    <w:p>
      <w:pPr>
        <w:rPr>
          <w:rFonts w:ascii="Courier New" w:hAnsi="Courier New"/>
          <w:sz w:val="24"/>
          <w:szCs w:val="24"/>
          <w:lang w:val="es-AR"/>
        </w:rPr>
      </w:pPr>
    </w:p>
    <w:p>
      <w:pPr>
        <w:rPr>
          <w:rFonts w:ascii="Courier New" w:hAnsi="Courier New"/>
          <w:sz w:val="24"/>
          <w:szCs w:val="24"/>
        </w:rPr>
      </w:pPr>
    </w:p>
    <w:p>
      <w:pPr>
        <w:pStyle w:val="P16"/>
      </w:pPr>
      <w:r>
        <w:t xml:space="preserve">EL HONORABLE CONCEJO DELIBERANTE DE LA CIUDAD DE </w:t>
      </w:r>
    </w:p>
    <w:p>
      <w:pPr>
        <w:pStyle w:val="P16"/>
      </w:pPr>
    </w:p>
    <w:p>
      <w:pPr>
        <w:pStyle w:val="P16"/>
      </w:pPr>
    </w:p>
    <w:p>
      <w:pPr>
        <w:pStyle w:val="P16"/>
      </w:pPr>
      <w:r>
        <w:t>ALTA GRACIA SANCIONA CON FUERZA DE ORDENANZA</w:t>
      </w:r>
    </w:p>
    <w:p>
      <w:pPr>
        <w:rPr>
          <w:rFonts w:ascii="Courier New" w:hAnsi="Courier New"/>
          <w:b w:val="1"/>
          <w:i w:val="1"/>
          <w:bCs w:val="1"/>
          <w:iCs w:val="1"/>
          <w:sz w:val="24"/>
          <w:szCs w:val="24"/>
          <w:lang w:val="es-AR"/>
        </w:rPr>
      </w:pPr>
    </w:p>
    <w:p>
      <w:pPr>
        <w:rPr>
          <w:rFonts w:ascii="Courier New" w:hAnsi="Courier New"/>
          <w:b w:val="1"/>
          <w:i w:val="1"/>
          <w:bCs w:val="1"/>
          <w:iCs w:val="1"/>
          <w:sz w:val="24"/>
          <w:szCs w:val="24"/>
          <w:lang w:val="es-AR"/>
        </w:rPr>
      </w:pPr>
    </w:p>
    <w:p>
      <w:pPr>
        <w:ind w:hanging="709" w:left="709"/>
        <w:jc w:val="both"/>
        <w:rPr>
          <w:rFonts w:ascii="Courier New" w:hAnsi="Courier New"/>
          <w:sz w:val="24"/>
          <w:szCs w:val="24"/>
        </w:rPr>
      </w:pPr>
      <w:r>
        <w:rPr>
          <w:rFonts w:ascii="Courier New" w:hAnsi="Courier New"/>
          <w:b w:val="1"/>
          <w:bCs w:val="1"/>
          <w:sz w:val="24"/>
          <w:szCs w:val="24"/>
          <w:u w:val="single"/>
        </w:rPr>
        <w:t>Art.1:</w:t>
      </w:r>
      <w:r>
        <w:rPr>
          <w:rFonts w:ascii="Courier New" w:hAnsi="Courier New"/>
          <w:sz w:val="24"/>
          <w:szCs w:val="24"/>
        </w:rPr>
        <w:t xml:space="preserve"> </w:t>
      </w:r>
      <w:r>
        <w:rPr>
          <w:rFonts w:ascii="Courier New" w:hAnsi="Courier New"/>
          <w:b w:val="1"/>
          <w:bCs w:val="1"/>
          <w:sz w:val="24"/>
          <w:szCs w:val="24"/>
        </w:rPr>
        <w:t>ESTABLECER</w:t>
      </w:r>
      <w:r>
        <w:rPr>
          <w:rFonts w:ascii="Courier New" w:hAnsi="Courier New"/>
          <w:sz w:val="24"/>
          <w:szCs w:val="24"/>
        </w:rPr>
        <w:t xml:space="preserve"> un nuevo periodo de vigencia de los beneficios que otorgan las Ordenanzas N° 5505 y 6591.</w:t>
      </w:r>
    </w:p>
    <w:p>
      <w:pPr>
        <w:rPr>
          <w:rFonts w:ascii="Courier New" w:hAnsi="Courier New"/>
          <w:b w:val="1"/>
          <w:i w:val="1"/>
          <w:bCs w:val="1"/>
          <w:iCs w:val="1"/>
          <w:sz w:val="24"/>
          <w:szCs w:val="24"/>
          <w:lang w:val="es-AR"/>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sz w:val="24"/>
          <w:szCs w:val="24"/>
        </w:rPr>
        <w:t xml:space="preserve"> </w:t>
      </w:r>
      <w:r>
        <w:rPr>
          <w:rFonts w:ascii="Courier New" w:hAnsi="Courier New"/>
          <w:b w:val="1"/>
          <w:bCs w:val="1"/>
          <w:sz w:val="24"/>
          <w:szCs w:val="24"/>
        </w:rPr>
        <w:t>FIJAR</w:t>
      </w:r>
      <w:r>
        <w:rPr>
          <w:rFonts w:ascii="Courier New" w:hAnsi="Courier New"/>
          <w:sz w:val="24"/>
          <w:szCs w:val="24"/>
        </w:rPr>
        <w:t xml:space="preserve"> el plazo establecido en el Art. anterior hasta el 31 de diciembre de 2004.</w:t>
      </w:r>
    </w:p>
    <w:p>
      <w:pPr>
        <w:rPr>
          <w:rFonts w:ascii="Courier New" w:hAnsi="Courier New"/>
          <w:b w:val="1"/>
          <w:i w:val="1"/>
          <w:bCs w:val="1"/>
          <w:iCs w:val="1"/>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Art.3:</w:t>
      </w:r>
      <w:r>
        <w:rPr>
          <w:rFonts w:ascii="Courier New" w:hAnsi="Courier New"/>
          <w:sz w:val="24"/>
          <w:szCs w:val="24"/>
        </w:rPr>
        <w:t xml:space="preserve"> </w:t>
      </w:r>
      <w:r>
        <w:rPr>
          <w:rFonts w:ascii="Courier New" w:hAnsi="Courier New"/>
          <w:b w:val="1"/>
          <w:bCs w:val="1"/>
          <w:sz w:val="24"/>
          <w:szCs w:val="24"/>
        </w:rPr>
        <w:t>PARA</w:t>
      </w:r>
      <w:r>
        <w:rPr>
          <w:rFonts w:ascii="Courier New" w:hAnsi="Courier New"/>
          <w:sz w:val="24"/>
          <w:szCs w:val="24"/>
        </w:rPr>
        <w:t xml:space="preserve"> acceder a los beneficios otorgados por la Ordenanzas Nº 6591, el contribuyente deberá tener abonados las cuotas vencidas de los doce meses anteriores del tributo que desea cancelar a valores históricos, contados retroactivamente a partir de la fecha de la efectiva cancelación.</w:t>
      </w:r>
    </w:p>
    <w:p>
      <w:pPr>
        <w:ind w:left="709"/>
        <w:jc w:val="right"/>
        <w:rPr>
          <w:rFonts w:ascii="Courier New" w:hAnsi="Courier New"/>
          <w:sz w:val="24"/>
          <w:szCs w:val="24"/>
        </w:rPr>
      </w:pPr>
      <w:r>
        <w:rPr>
          <w:rFonts w:ascii="Courier New" w:hAnsi="Courier New"/>
          <w:sz w:val="24"/>
          <w:szCs w:val="24"/>
        </w:rPr>
        <w:t>...///</w:t>
      </w:r>
    </w:p>
    <w:p>
      <w:pPr>
        <w:ind w:left="709"/>
        <w:jc w:val="right"/>
        <w:rPr>
          <w:rFonts w:ascii="Courier New" w:hAnsi="Courier New"/>
          <w:sz w:val="24"/>
          <w:szCs w:val="24"/>
        </w:rPr>
      </w:pPr>
    </w:p>
    <w:p>
      <w:pPr>
        <w:ind w:left="709"/>
        <w:jc w:val="right"/>
        <w:rPr>
          <w:rFonts w:ascii="Courier New" w:hAnsi="Courier New"/>
          <w:sz w:val="24"/>
          <w:szCs w:val="24"/>
        </w:rPr>
      </w:pPr>
    </w:p>
    <w:p>
      <w:pPr>
        <w:ind w:left="709"/>
        <w:jc w:val="right"/>
        <w:rPr>
          <w:rFonts w:ascii="Courier New" w:hAnsi="Courier New"/>
          <w:sz w:val="24"/>
          <w:szCs w:val="24"/>
        </w:rPr>
      </w:pPr>
    </w:p>
    <w:p>
      <w:pPr>
        <w:ind w:left="709"/>
        <w:jc w:val="right"/>
        <w:rPr>
          <w:rFonts w:ascii="Courier New" w:hAnsi="Courier New"/>
          <w:sz w:val="24"/>
          <w:szCs w:val="24"/>
        </w:rPr>
      </w:pPr>
    </w:p>
    <w:p>
      <w:pPr>
        <w:ind w:hanging="709" w:left="709"/>
        <w:rPr>
          <w:rFonts w:ascii="Courier New" w:hAnsi="Courier New"/>
          <w:sz w:val="24"/>
          <w:szCs w:val="24"/>
        </w:rPr>
      </w:pPr>
      <w:r>
        <w:rPr>
          <w:rFonts w:ascii="Courier New" w:hAnsi="Courier New"/>
          <w:sz w:val="24"/>
          <w:szCs w:val="24"/>
        </w:rPr>
        <w:t>...///3.-</w:t>
      </w: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Para el caso de las facilidades de pago en cuotas, se podrá incluir la totalidad de la deuda hasta la cuota cuyo vencimiento opera en el mes de acogimiento de la misma.</w:t>
      </w:r>
    </w:p>
    <w:p>
      <w:pPr>
        <w:rPr>
          <w:rFonts w:ascii="Courier New" w:hAnsi="Courier New"/>
          <w:b w:val="1"/>
          <w:i w:val="1"/>
          <w:bCs w:val="1"/>
          <w:iCs w:val="1"/>
          <w:sz w:val="24"/>
          <w:szCs w:val="24"/>
        </w:rPr>
      </w:pPr>
      <w:r>
        <w:rPr>
          <w:rFonts w:ascii="Courier New" w:hAnsi="Courier New"/>
          <w:sz w:val="24"/>
          <w:szCs w:val="24"/>
        </w:rPr>
        <w:t xml:space="preserve"> </w:t>
      </w:r>
    </w:p>
    <w:p>
      <w:pPr>
        <w:ind w:hanging="709" w:left="709"/>
        <w:jc w:val="both"/>
        <w:rPr>
          <w:rFonts w:ascii="Courier New" w:hAnsi="Courier New"/>
          <w:sz w:val="24"/>
          <w:szCs w:val="24"/>
        </w:rPr>
      </w:pPr>
      <w:r>
        <w:rPr>
          <w:rFonts w:ascii="Courier New" w:hAnsi="Courier New"/>
          <w:b w:val="1"/>
          <w:bCs w:val="1"/>
          <w:sz w:val="24"/>
          <w:szCs w:val="24"/>
          <w:u w:val="single"/>
        </w:rPr>
        <w:t>Art.4:</w:t>
      </w:r>
      <w:r>
        <w:rPr>
          <w:rFonts w:ascii="Courier New" w:hAnsi="Courier New"/>
          <w:sz w:val="24"/>
          <w:szCs w:val="24"/>
        </w:rPr>
        <w:t xml:space="preserve"> </w:t>
      </w:r>
      <w:r>
        <w:rPr>
          <w:rFonts w:ascii="Courier New" w:hAnsi="Courier New"/>
          <w:b w:val="1"/>
          <w:bCs w:val="1"/>
          <w:sz w:val="24"/>
          <w:szCs w:val="24"/>
        </w:rPr>
        <w:t>SUSTITUIR</w:t>
      </w:r>
      <w:r>
        <w:rPr>
          <w:rFonts w:ascii="Courier New" w:hAnsi="Courier New"/>
          <w:sz w:val="24"/>
          <w:szCs w:val="24"/>
        </w:rPr>
        <w:t xml:space="preserve"> el Art. 6 de la Ordenanza N° 5505, por el siguiente:</w:t>
      </w:r>
    </w:p>
    <w:p>
      <w:pPr>
        <w:ind w:left="709"/>
        <w:jc w:val="both"/>
        <w:rPr>
          <w:rFonts w:ascii="Courier New" w:hAnsi="Courier New"/>
          <w:sz w:val="24"/>
          <w:szCs w:val="24"/>
        </w:rPr>
      </w:pPr>
      <w:r>
        <w:rPr>
          <w:rFonts w:ascii="Courier New" w:hAnsi="Courier New"/>
          <w:sz w:val="24"/>
          <w:szCs w:val="24"/>
        </w:rPr>
        <w:t>“</w:t>
      </w:r>
      <w:r>
        <w:rPr>
          <w:rFonts w:ascii="Courier New" w:hAnsi="Courier New"/>
          <w:b w:val="1"/>
          <w:bCs w:val="1"/>
          <w:sz w:val="24"/>
          <w:szCs w:val="24"/>
          <w:u w:val="single"/>
        </w:rPr>
        <w:t>Art.6:</w:t>
      </w:r>
      <w:r>
        <w:rPr>
          <w:rFonts w:ascii="Courier New" w:hAnsi="Courier New"/>
          <w:sz w:val="24"/>
          <w:szCs w:val="24"/>
        </w:rPr>
        <w:t xml:space="preserve"> Las deudas podrán cancelarse suscribiendo un plan de facilidades de pago de hasta cuarenta y ocho (48) cuotas, con arreglo a los siguientes procedimientos:</w:t>
      </w:r>
    </w:p>
    <w:p>
      <w:pPr>
        <w:numPr>
          <w:ilvl w:val="0"/>
          <w:numId w:val="14"/>
        </w:numPr>
        <w:jc w:val="both"/>
        <w:rPr>
          <w:rFonts w:ascii="Courier New" w:hAnsi="Courier New"/>
          <w:sz w:val="24"/>
          <w:szCs w:val="24"/>
        </w:rPr>
      </w:pPr>
      <w:r>
        <w:rPr>
          <w:rFonts w:ascii="Courier New" w:hAnsi="Courier New"/>
          <w:sz w:val="24"/>
          <w:szCs w:val="24"/>
        </w:rPr>
        <w:t xml:space="preserve">Suscribiendo un plan de facilidades de pago de hasta tres (3) cuotas con una reducción del cincuenta por ciento (50%) de los intereses resarcitorios previstos por el Art. 30 de la Ordenanza N° 3873 y del cien por ciento (100%) de las multas no firmes a la fecha de vigencia de la presente. La exhibición de sanciones comprende también a las clausuras firmes o no. </w:t>
      </w:r>
    </w:p>
    <w:p>
      <w:pPr>
        <w:numPr>
          <w:ilvl w:val="0"/>
          <w:numId w:val="14"/>
        </w:numPr>
        <w:jc w:val="both"/>
        <w:rPr>
          <w:rFonts w:ascii="Courier New" w:hAnsi="Courier New"/>
          <w:sz w:val="24"/>
          <w:szCs w:val="24"/>
        </w:rPr>
      </w:pPr>
      <w:r>
        <w:rPr>
          <w:rFonts w:ascii="Courier New" w:hAnsi="Courier New"/>
          <w:sz w:val="24"/>
          <w:szCs w:val="24"/>
        </w:rPr>
        <w:t xml:space="preserve">Suscribiendo un plan de facilidades de pago de hasta seis (6) cuotas con una reducción del treinta por ciento (30%) de los intereses resarcitorios previstos por el Art. 30 de la Ordenanza N° 3873 y del cien por ciento (100%) de las multas no firmes a la fecha de vigencia de la presente. La eximición de sanciones comprende también a las clausuras firmes o no. </w:t>
      </w:r>
    </w:p>
    <w:p>
      <w:pPr>
        <w:numPr>
          <w:ilvl w:val="0"/>
          <w:numId w:val="14"/>
        </w:numPr>
        <w:jc w:val="both"/>
        <w:rPr>
          <w:rFonts w:ascii="Courier New" w:hAnsi="Courier New"/>
          <w:sz w:val="24"/>
          <w:szCs w:val="24"/>
        </w:rPr>
      </w:pPr>
      <w:r>
        <w:rPr>
          <w:rFonts w:ascii="Courier New" w:hAnsi="Courier New"/>
          <w:sz w:val="24"/>
          <w:szCs w:val="24"/>
        </w:rPr>
        <w:t xml:space="preserve">Suscribiendo un plan de facilidades de pago de hasta cuarenta y ocho  (48) cuotas con una reducción del cien por ciento (100%) de las multas no firmes a la fecha de vigencia de la presente. La eximición de sanciones comprende también a las clausuras firmes o no. </w:t>
      </w:r>
    </w:p>
    <w:p>
      <w:pPr>
        <w:ind w:left="709"/>
        <w:jc w:val="both"/>
        <w:rPr>
          <w:rFonts w:ascii="Courier New" w:hAnsi="Courier New"/>
          <w:sz w:val="24"/>
          <w:szCs w:val="24"/>
        </w:rPr>
      </w:pPr>
      <w:r>
        <w:rPr>
          <w:rFonts w:ascii="Courier New" w:hAnsi="Courier New"/>
          <w:sz w:val="24"/>
          <w:szCs w:val="24"/>
        </w:rPr>
        <w:t>Los intereses resarcitorios por la deuda a acoger serán calculados hasta el último día del mes en el que se produzca el acogimiento dentro del plazo de vigencia del plan de facilidades de pago.”</w:t>
      </w:r>
    </w:p>
    <w:p>
      <w:pPr>
        <w:pStyle w:val="P9"/>
        <w:tabs>
          <w:tab w:val="clear" w:pos="4252" w:leader="none"/>
          <w:tab w:val="clear" w:pos="8504" w:leader="none"/>
        </w:tabs>
        <w:rPr>
          <w:rFonts w:ascii="Courier New" w:hAnsi="Courier New"/>
          <w:lang w:val="es-ES"/>
        </w:rPr>
      </w:pPr>
    </w:p>
    <w:p>
      <w:pPr>
        <w:ind w:hanging="709" w:left="709"/>
        <w:jc w:val="both"/>
        <w:rPr>
          <w:rFonts w:ascii="Courier New" w:hAnsi="Courier New"/>
          <w:sz w:val="24"/>
          <w:szCs w:val="24"/>
        </w:rPr>
      </w:pPr>
      <w:r>
        <w:rPr>
          <w:rFonts w:ascii="Courier New" w:hAnsi="Courier New"/>
          <w:b w:val="1"/>
          <w:bCs w:val="1"/>
          <w:sz w:val="24"/>
          <w:szCs w:val="24"/>
          <w:u w:val="single"/>
        </w:rPr>
        <w:t>Art.5:</w:t>
      </w:r>
      <w:r>
        <w:rPr>
          <w:rFonts w:ascii="Courier New" w:hAnsi="Courier New"/>
          <w:sz w:val="24"/>
          <w:szCs w:val="24"/>
        </w:rPr>
        <w:t xml:space="preserve"> </w:t>
      </w:r>
      <w:r>
        <w:rPr>
          <w:rFonts w:ascii="Courier New" w:hAnsi="Courier New"/>
          <w:b w:val="1"/>
          <w:bCs w:val="1"/>
          <w:sz w:val="24"/>
          <w:szCs w:val="24"/>
        </w:rPr>
        <w:t>EXCLUIR</w:t>
      </w:r>
      <w:r>
        <w:rPr>
          <w:rFonts w:ascii="Courier New" w:hAnsi="Courier New"/>
          <w:sz w:val="24"/>
          <w:szCs w:val="24"/>
        </w:rPr>
        <w:t xml:space="preserve"> de los beneficios establecidos por las Ordenanzas N° 5505 y Nº 6591 a las deudas que se encuentren en proceso judicial en los casos en que la </w:t>
      </w:r>
    </w:p>
    <w:p>
      <w:pPr>
        <w:ind w:hanging="709" w:left="709"/>
        <w:jc w:val="right"/>
        <w:rPr>
          <w:rFonts w:ascii="Courier New" w:hAnsi="Courier New"/>
          <w:sz w:val="24"/>
          <w:szCs w:val="24"/>
        </w:rPr>
      </w:pPr>
      <w:r>
        <w:rPr>
          <w:rFonts w:ascii="Courier New" w:hAnsi="Courier New"/>
          <w:sz w:val="24"/>
          <w:szCs w:val="24"/>
        </w:rPr>
        <w:t>...///</w:t>
      </w:r>
    </w:p>
    <w:p>
      <w:pPr>
        <w:ind w:hanging="709"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sz w:val="24"/>
          <w:szCs w:val="24"/>
        </w:rPr>
        <w:t>...///4.-</w:t>
      </w: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causa se encuentre en Instancia de ejecución de sentencia con Anotación preventiva de subasta. </w:t>
      </w:r>
    </w:p>
    <w:p>
      <w:pPr>
        <w:ind w:hanging="709" w:left="709"/>
        <w:jc w:val="both"/>
        <w:rPr>
          <w:rFonts w:ascii="Courier New" w:hAnsi="Courier New"/>
          <w:b w:val="1"/>
          <w:bCs w:val="1"/>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Art.6:</w:t>
      </w:r>
      <w:r>
        <w:rPr>
          <w:rFonts w:ascii="Courier New" w:hAnsi="Courier New"/>
          <w:b w:val="1"/>
          <w:bCs w:val="1"/>
          <w:sz w:val="24"/>
          <w:szCs w:val="24"/>
        </w:rPr>
        <w:t xml:space="preserve"> SUSPÉNDASE</w:t>
      </w:r>
      <w:r>
        <w:rPr>
          <w:rFonts w:ascii="Courier New" w:hAnsi="Courier New"/>
          <w:sz w:val="24"/>
          <w:szCs w:val="24"/>
        </w:rPr>
        <w:t xml:space="preserve"> durante la vigencia de este régimen la aplicación de toda norma que se oponga a la presente.</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Art.7:</w:t>
      </w:r>
      <w:r>
        <w:rPr>
          <w:rFonts w:ascii="Courier New" w:hAnsi="Courier New"/>
          <w:sz w:val="24"/>
          <w:szCs w:val="24"/>
        </w:rPr>
        <w:t xml:space="preserve"> </w:t>
      </w:r>
      <w:r>
        <w:rPr>
          <w:rFonts w:ascii="Courier New" w:hAnsi="Courier New"/>
          <w:b w:val="1"/>
          <w:bCs w:val="1"/>
          <w:sz w:val="24"/>
          <w:szCs w:val="24"/>
        </w:rPr>
        <w:t>COMUNÍQUESE,</w:t>
      </w:r>
      <w:r>
        <w:rPr>
          <w:rFonts w:ascii="Courier New" w:hAnsi="Courier New"/>
          <w:sz w:val="24"/>
          <w:szCs w:val="24"/>
        </w:rPr>
        <w:t xml:space="preserve"> publíquese, transcríbase al Libro de Ordenanzas y archívese.</w:t>
      </w:r>
    </w:p>
    <w:p>
      <w:pPr>
        <w:pStyle w:val="P10"/>
        <w:rPr>
          <w:rFonts w:ascii="Courier New" w:hAnsi="Courier New"/>
        </w:rPr>
      </w:pPr>
    </w:p>
    <w:p>
      <w:pPr>
        <w:pStyle w:val="P10"/>
        <w:rPr>
          <w:rFonts w:ascii="Courier New" w:hAnsi="Courier New"/>
        </w:rPr>
      </w:pPr>
    </w:p>
    <w:p>
      <w:pPr>
        <w:pStyle w:val="P10"/>
        <w:rPr>
          <w:rFonts w:ascii="Courier New" w:hAnsi="Courier New"/>
        </w:rPr>
      </w:pPr>
    </w:p>
    <w:p>
      <w:pPr>
        <w:pStyle w:val="P2"/>
        <w:ind w:left="0"/>
        <w:rPr>
          <w:i w:val="1"/>
          <w:iCs w:val="1"/>
        </w:rPr>
      </w:pPr>
      <w:r>
        <w:rPr>
          <w:rFonts w:ascii="Courier New" w:hAnsi="Courier New"/>
          <w:i w:val="0"/>
          <w:iCs w:val="0"/>
        </w:rPr>
        <w:t>DADA EN LA SALA DE SESIONES DEL HONORABLE CONCEJO DELIBERANTE A VEINTIDOS DIAS DEL MES DE ABRIL DEL AÑO DOS MIL CUATRO.</w:t>
      </w:r>
    </w:p>
    <w:p>
      <w:pPr>
        <w:jc w:val="both"/>
        <w:rPr>
          <w:rFonts w:ascii="Courier New" w:hAnsi="Courier New"/>
          <w:sz w:val="24"/>
          <w:szCs w:val="24"/>
        </w:rPr>
      </w:pPr>
    </w:p>
    <w:p>
      <w:pPr>
        <w:rPr>
          <w:rFonts w:ascii="Courier New" w:hAnsi="Courier New"/>
          <w:sz w:val="24"/>
          <w:szCs w:val="24"/>
          <w:lang w:val="es-AR"/>
        </w:rPr>
      </w:pPr>
    </w:p>
    <w:p>
      <w:pPr>
        <w:rPr>
          <w:rFonts w:ascii="Courier New" w:hAnsi="Courier New"/>
          <w:sz w:val="24"/>
          <w:szCs w:val="24"/>
          <w:lang w:val="es-AR"/>
        </w:rPr>
      </w:pPr>
    </w:p>
    <w:p>
      <w:pPr>
        <w:rPr>
          <w:rFonts w:ascii="Courier New" w:hAnsi="Courier New"/>
          <w:sz w:val="24"/>
          <w:szCs w:val="24"/>
          <w:lang w:val="es-AR"/>
        </w:rPr>
      </w:pPr>
    </w:p>
    <w:p>
      <w:pPr>
        <w:rPr>
          <w:rFonts w:ascii="Courier New" w:hAnsi="Courier New"/>
          <w:sz w:val="24"/>
          <w:szCs w:val="24"/>
          <w:lang w:val="es-AR"/>
        </w:rPr>
      </w:pP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FA9065F"/>
    <w:multiLevelType w:val="hybridMultilevel"/>
    <w:lvl w:ilvl="0" w:tplc="3A263B5D">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0F40AB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1F633CF"/>
    <w:multiLevelType w:val="multilevel"/>
    <w:lvl w:ilvl="0">
      <w:start w:val="1"/>
      <w:numFmt w:val="lowerLetter"/>
      <w:suff w:val="tab"/>
      <w:lvlText w:val="%1)"/>
      <w:lvlJc w:val="left"/>
      <w:pPr>
        <w:ind w:hanging="525" w:left="1234"/>
        <w:tabs>
          <w:tab w:val="num" w:pos="1234"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5DF39ED"/>
    <w:multiLevelType w:val="hybridMultilevel"/>
    <w:lvl w:ilvl="0" w:tplc="70BB88BC">
      <w:start w:val="1"/>
      <w:numFmt w:val="bullet"/>
      <w:suff w:val="tab"/>
      <w:lvlText w:val=""/>
      <w:lvlJc w:val="left"/>
      <w:pPr>
        <w:ind w:hanging="360" w:left="360"/>
        <w:tabs>
          <w:tab w:val="num" w:pos="360" w:leader="none"/>
        </w:tabs>
      </w:pPr>
      <w:rPr>
        <w:rFonts w:ascii="Symbol" w:hAnsi="Symbol"/>
      </w:rPr>
    </w:lvl>
    <w:lvl w:ilvl="1" w:tplc="76A3EAD5">
      <w:start w:val="1"/>
      <w:numFmt w:val="bullet"/>
      <w:suff w:val="tab"/>
      <w:lvlText w:val="o"/>
      <w:lvlJc w:val="left"/>
      <w:pPr>
        <w:ind w:hanging="360" w:left="1080"/>
        <w:tabs>
          <w:tab w:val="num" w:pos="1080" w:leader="none"/>
        </w:tabs>
      </w:pPr>
      <w:rPr>
        <w:rFonts w:ascii="Courier New" w:hAnsi="Courier New"/>
      </w:rPr>
    </w:lvl>
    <w:lvl w:ilvl="2" w:tplc="497BC47D">
      <w:start w:val="1"/>
      <w:numFmt w:val="bullet"/>
      <w:suff w:val="tab"/>
      <w:lvlText w:val=""/>
      <w:lvlJc w:val="left"/>
      <w:pPr>
        <w:ind w:hanging="360" w:left="1800"/>
        <w:tabs>
          <w:tab w:val="num" w:pos="1800" w:leader="none"/>
        </w:tabs>
      </w:pPr>
      <w:rPr>
        <w:rFonts w:ascii="Wingdings" w:hAnsi="Wingdings"/>
      </w:rPr>
    </w:lvl>
    <w:lvl w:ilvl="3" w:tplc="4ED3FA74">
      <w:start w:val="1"/>
      <w:numFmt w:val="bullet"/>
      <w:suff w:val="tab"/>
      <w:lvlText w:val=""/>
      <w:lvlJc w:val="left"/>
      <w:pPr>
        <w:ind w:hanging="360" w:left="2520"/>
        <w:tabs>
          <w:tab w:val="num" w:pos="2520" w:leader="none"/>
        </w:tabs>
      </w:pPr>
      <w:rPr>
        <w:rFonts w:ascii="Symbol" w:hAnsi="Symbol"/>
      </w:rPr>
    </w:lvl>
    <w:lvl w:ilvl="4" w:tplc="38FF8272">
      <w:start w:val="1"/>
      <w:numFmt w:val="bullet"/>
      <w:suff w:val="tab"/>
      <w:lvlText w:val="o"/>
      <w:lvlJc w:val="left"/>
      <w:pPr>
        <w:ind w:hanging="360" w:left="3240"/>
        <w:tabs>
          <w:tab w:val="num" w:pos="3240" w:leader="none"/>
        </w:tabs>
      </w:pPr>
      <w:rPr>
        <w:rFonts w:ascii="Courier New" w:hAnsi="Courier New"/>
      </w:rPr>
    </w:lvl>
    <w:lvl w:ilvl="5" w:tplc="37EBB75C">
      <w:start w:val="1"/>
      <w:numFmt w:val="bullet"/>
      <w:suff w:val="tab"/>
      <w:lvlText w:val=""/>
      <w:lvlJc w:val="left"/>
      <w:pPr>
        <w:ind w:hanging="360" w:left="3960"/>
        <w:tabs>
          <w:tab w:val="num" w:pos="3960" w:leader="none"/>
        </w:tabs>
      </w:pPr>
      <w:rPr>
        <w:rFonts w:ascii="Wingdings" w:hAnsi="Wingdings"/>
      </w:rPr>
    </w:lvl>
    <w:lvl w:ilvl="6" w:tplc="091FB8DE">
      <w:start w:val="1"/>
      <w:numFmt w:val="bullet"/>
      <w:suff w:val="tab"/>
      <w:lvlText w:val=""/>
      <w:lvlJc w:val="left"/>
      <w:pPr>
        <w:ind w:hanging="360" w:left="4680"/>
        <w:tabs>
          <w:tab w:val="num" w:pos="4680" w:leader="none"/>
        </w:tabs>
      </w:pPr>
      <w:rPr>
        <w:rFonts w:ascii="Symbol" w:hAnsi="Symbol"/>
      </w:rPr>
    </w:lvl>
    <w:lvl w:ilvl="7" w:tplc="7F5DF6BF">
      <w:start w:val="1"/>
      <w:numFmt w:val="bullet"/>
      <w:suff w:val="tab"/>
      <w:lvlText w:val="o"/>
      <w:lvlJc w:val="left"/>
      <w:pPr>
        <w:ind w:hanging="360" w:left="5400"/>
        <w:tabs>
          <w:tab w:val="num" w:pos="5400" w:leader="none"/>
        </w:tabs>
      </w:pPr>
      <w:rPr>
        <w:rFonts w:ascii="Courier New" w:hAnsi="Courier New"/>
      </w:rPr>
    </w:lvl>
    <w:lvl w:ilvl="8" w:tplc="53EE7034">
      <w:start w:val="1"/>
      <w:numFmt w:val="bullet"/>
      <w:suff w:val="tab"/>
      <w:lvlText w:val=""/>
      <w:lvlJc w:val="left"/>
      <w:pPr>
        <w:ind w:hanging="360" w:left="6120"/>
        <w:tabs>
          <w:tab w:val="num" w:pos="6120" w:leader="none"/>
        </w:tabs>
      </w:pPr>
      <w:rPr>
        <w:rFonts w:ascii="Wingdings" w:hAnsi="Wingdings"/>
      </w:rPr>
    </w:lvl>
  </w:abstractNum>
  <w:abstractNum w:abstractNumId="4">
    <w:nsid w:val="25E74541"/>
    <w:multiLevelType w:val="hybridMultilevel"/>
    <w:lvl w:ilvl="0" w:tplc="404787BE">
      <w:start w:val="1"/>
      <w:numFmt w:val="bullet"/>
      <w:suff w:val="tab"/>
      <w:lvlText w:val=""/>
      <w:lvlJc w:val="left"/>
      <w:pPr>
        <w:ind w:hanging="360" w:left="720"/>
        <w:tabs>
          <w:tab w:val="num" w:pos="720" w:leader="none"/>
        </w:tabs>
      </w:pPr>
      <w:rPr>
        <w:rFonts w:ascii="Symbol" w:hAnsi="Symbol"/>
      </w:rPr>
    </w:lvl>
    <w:lvl w:ilvl="1" w:tplc="6F81ABE5">
      <w:start w:val="1"/>
      <w:numFmt w:val="bullet"/>
      <w:suff w:val="tab"/>
      <w:lvlText w:val="o"/>
      <w:lvlJc w:val="left"/>
      <w:pPr>
        <w:ind w:hanging="360" w:left="1440"/>
        <w:tabs>
          <w:tab w:val="num" w:pos="1440" w:leader="none"/>
        </w:tabs>
      </w:pPr>
      <w:rPr>
        <w:rFonts w:ascii="Courier New" w:hAnsi="Courier New"/>
      </w:rPr>
    </w:lvl>
    <w:lvl w:ilvl="2" w:tplc="65BEC2B6">
      <w:start w:val="1"/>
      <w:numFmt w:val="bullet"/>
      <w:suff w:val="tab"/>
      <w:lvlText w:val=""/>
      <w:lvlJc w:val="left"/>
      <w:pPr>
        <w:ind w:hanging="360" w:left="2160"/>
        <w:tabs>
          <w:tab w:val="num" w:pos="2160" w:leader="none"/>
        </w:tabs>
      </w:pPr>
      <w:rPr>
        <w:rFonts w:ascii="Wingdings" w:hAnsi="Wingdings"/>
      </w:rPr>
    </w:lvl>
    <w:lvl w:ilvl="3" w:tplc="0C9F5AD6">
      <w:start w:val="1"/>
      <w:numFmt w:val="bullet"/>
      <w:suff w:val="tab"/>
      <w:lvlText w:val=""/>
      <w:lvlJc w:val="left"/>
      <w:pPr>
        <w:ind w:hanging="360" w:left="2880"/>
        <w:tabs>
          <w:tab w:val="num" w:pos="2880" w:leader="none"/>
        </w:tabs>
      </w:pPr>
      <w:rPr>
        <w:rFonts w:ascii="Symbol" w:hAnsi="Symbol"/>
      </w:rPr>
    </w:lvl>
    <w:lvl w:ilvl="4" w:tplc="648BCA01">
      <w:start w:val="1"/>
      <w:numFmt w:val="bullet"/>
      <w:suff w:val="tab"/>
      <w:lvlText w:val="o"/>
      <w:lvlJc w:val="left"/>
      <w:pPr>
        <w:ind w:hanging="360" w:left="3600"/>
        <w:tabs>
          <w:tab w:val="num" w:pos="3600" w:leader="none"/>
        </w:tabs>
      </w:pPr>
      <w:rPr>
        <w:rFonts w:ascii="Courier New" w:hAnsi="Courier New"/>
      </w:rPr>
    </w:lvl>
    <w:lvl w:ilvl="5" w:tplc="0AC80249">
      <w:start w:val="1"/>
      <w:numFmt w:val="bullet"/>
      <w:suff w:val="tab"/>
      <w:lvlText w:val=""/>
      <w:lvlJc w:val="left"/>
      <w:pPr>
        <w:ind w:hanging="360" w:left="4320"/>
        <w:tabs>
          <w:tab w:val="num" w:pos="4320" w:leader="none"/>
        </w:tabs>
      </w:pPr>
      <w:rPr>
        <w:rFonts w:ascii="Wingdings" w:hAnsi="Wingdings"/>
      </w:rPr>
    </w:lvl>
    <w:lvl w:ilvl="6" w:tplc="3541175C">
      <w:start w:val="1"/>
      <w:numFmt w:val="bullet"/>
      <w:suff w:val="tab"/>
      <w:lvlText w:val=""/>
      <w:lvlJc w:val="left"/>
      <w:pPr>
        <w:ind w:hanging="360" w:left="5040"/>
        <w:tabs>
          <w:tab w:val="num" w:pos="5040" w:leader="none"/>
        </w:tabs>
      </w:pPr>
      <w:rPr>
        <w:rFonts w:ascii="Symbol" w:hAnsi="Symbol"/>
      </w:rPr>
    </w:lvl>
    <w:lvl w:ilvl="7" w:tplc="5FF13634">
      <w:start w:val="1"/>
      <w:numFmt w:val="bullet"/>
      <w:suff w:val="tab"/>
      <w:lvlText w:val="o"/>
      <w:lvlJc w:val="left"/>
      <w:pPr>
        <w:ind w:hanging="360" w:left="5760"/>
        <w:tabs>
          <w:tab w:val="num" w:pos="5760" w:leader="none"/>
        </w:tabs>
      </w:pPr>
      <w:rPr>
        <w:rFonts w:ascii="Courier New" w:hAnsi="Courier New"/>
      </w:rPr>
    </w:lvl>
    <w:lvl w:ilvl="8" w:tplc="0190038B">
      <w:start w:val="1"/>
      <w:numFmt w:val="bullet"/>
      <w:suff w:val="tab"/>
      <w:lvlText w:val=""/>
      <w:lvlJc w:val="left"/>
      <w:pPr>
        <w:ind w:hanging="360" w:left="6480"/>
        <w:tabs>
          <w:tab w:val="num" w:pos="6480" w:leader="none"/>
        </w:tabs>
      </w:pPr>
      <w:rPr>
        <w:rFonts w:ascii="Wingdings" w:hAnsi="Wingdings"/>
      </w:rPr>
    </w:lvl>
  </w:abstractNum>
  <w:abstractNum w:abstractNumId="5">
    <w:nsid w:val="26BE0F42"/>
    <w:multiLevelType w:val="hybridMultilevel"/>
    <w:lvl w:ilvl="0" w:tplc="7E66D74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463D6484"/>
    <w:multiLevelType w:val="multilevel"/>
    <w:lvl w:ilvl="0">
      <w:start w:val="1"/>
      <w:numFmt w:val="lowerLetter"/>
      <w:suff w:val="tab"/>
      <w:lvlText w:val="%1)"/>
      <w:lvlJc w:val="left"/>
      <w:pPr>
        <w:ind w:hanging="360" w:left="1350"/>
        <w:tabs>
          <w:tab w:val="num" w:pos="1350" w:leader="none"/>
        </w:tabs>
      </w:pPr>
      <w:rPr/>
    </w:lvl>
    <w:lvl w:ilvl="1">
      <w:start w:val="1"/>
      <w:numFmt w:val="lowerLetter"/>
      <w:suff w:val="tab"/>
      <w:lvlText w:val="%2."/>
      <w:lvlJc w:val="left"/>
      <w:pPr>
        <w:ind w:hanging="360" w:left="2070"/>
        <w:tabs>
          <w:tab w:val="num" w:pos="2070" w:leader="none"/>
        </w:tabs>
      </w:pPr>
      <w:rPr/>
    </w:lvl>
    <w:lvl w:ilvl="2">
      <w:start w:val="1"/>
      <w:numFmt w:val="lowerRoman"/>
      <w:suff w:val="tab"/>
      <w:lvlText w:val="%3."/>
      <w:lvlJc w:val="right"/>
      <w:pPr>
        <w:ind w:hanging="180" w:left="2790"/>
        <w:tabs>
          <w:tab w:val="num" w:pos="2790" w:leader="none"/>
        </w:tabs>
      </w:pPr>
      <w:rPr/>
    </w:lvl>
    <w:lvl w:ilvl="3">
      <w:start w:val="1"/>
      <w:numFmt w:val="decimal"/>
      <w:suff w:val="tab"/>
      <w:lvlText w:val="%4."/>
      <w:lvlJc w:val="left"/>
      <w:pPr>
        <w:ind w:hanging="360" w:left="3510"/>
        <w:tabs>
          <w:tab w:val="num" w:pos="3510" w:leader="none"/>
        </w:tabs>
      </w:pPr>
      <w:rPr/>
    </w:lvl>
    <w:lvl w:ilvl="4">
      <w:start w:val="1"/>
      <w:numFmt w:val="lowerLetter"/>
      <w:suff w:val="tab"/>
      <w:lvlText w:val="%5."/>
      <w:lvlJc w:val="left"/>
      <w:pPr>
        <w:ind w:hanging="360" w:left="4230"/>
        <w:tabs>
          <w:tab w:val="num" w:pos="4230" w:leader="none"/>
        </w:tabs>
      </w:pPr>
      <w:rPr/>
    </w:lvl>
    <w:lvl w:ilvl="5">
      <w:start w:val="1"/>
      <w:numFmt w:val="lowerRoman"/>
      <w:suff w:val="tab"/>
      <w:lvlText w:val="%6."/>
      <w:lvlJc w:val="right"/>
      <w:pPr>
        <w:ind w:hanging="180" w:left="4950"/>
        <w:tabs>
          <w:tab w:val="num" w:pos="4950" w:leader="none"/>
        </w:tabs>
      </w:pPr>
      <w:rPr/>
    </w:lvl>
    <w:lvl w:ilvl="6">
      <w:start w:val="1"/>
      <w:numFmt w:val="decimal"/>
      <w:suff w:val="tab"/>
      <w:lvlText w:val="%7."/>
      <w:lvlJc w:val="left"/>
      <w:pPr>
        <w:ind w:hanging="360" w:left="5670"/>
        <w:tabs>
          <w:tab w:val="num" w:pos="5670" w:leader="none"/>
        </w:tabs>
      </w:pPr>
      <w:rPr/>
    </w:lvl>
    <w:lvl w:ilvl="7">
      <w:start w:val="1"/>
      <w:numFmt w:val="lowerLetter"/>
      <w:suff w:val="tab"/>
      <w:lvlText w:val="%8."/>
      <w:lvlJc w:val="left"/>
      <w:pPr>
        <w:ind w:hanging="360" w:left="6390"/>
        <w:tabs>
          <w:tab w:val="num" w:pos="6390" w:leader="none"/>
        </w:tabs>
      </w:pPr>
      <w:rPr/>
    </w:lvl>
    <w:lvl w:ilvl="8">
      <w:start w:val="1"/>
      <w:numFmt w:val="lowerRoman"/>
      <w:suff w:val="tab"/>
      <w:lvlText w:val="%9."/>
      <w:lvlJc w:val="right"/>
      <w:pPr>
        <w:ind w:hanging="180" w:left="7110"/>
        <w:tabs>
          <w:tab w:val="num" w:pos="7110" w:leader="none"/>
        </w:tabs>
      </w:pPr>
      <w:rPr/>
    </w:lvl>
  </w:abstractNum>
  <w:abstractNum w:abstractNumId="7">
    <w:nsid w:val="4C824D4B"/>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03F5417"/>
    <w:multiLevelType w:val="hybridMultilevel"/>
    <w:lvl w:ilvl="0" w:tplc="79DB1558">
      <w:start w:val="1"/>
      <w:numFmt w:val="bullet"/>
      <w:suff w:val="tab"/>
      <w:lvlText w:val=""/>
      <w:lvlJc w:val="left"/>
      <w:pPr>
        <w:ind w:hanging="360" w:left="720"/>
        <w:tabs>
          <w:tab w:val="num" w:pos="720" w:leader="none"/>
        </w:tabs>
      </w:pPr>
      <w:rPr>
        <w:rFonts w:ascii="Symbol" w:hAnsi="Symbol" w:cs="Times New Roman" w:eastAsia="Times New Roman"/>
      </w:rPr>
    </w:lvl>
    <w:lvl w:ilvl="1" w:tplc="69C4CCC4">
      <w:start w:val="1"/>
      <w:numFmt w:val="bullet"/>
      <w:suff w:val="tab"/>
      <w:lvlText w:val="o"/>
      <w:lvlJc w:val="left"/>
      <w:pPr>
        <w:ind w:hanging="360" w:left="1440"/>
        <w:tabs>
          <w:tab w:val="num" w:pos="1440" w:leader="none"/>
        </w:tabs>
      </w:pPr>
      <w:rPr>
        <w:rFonts w:ascii="Courier New" w:hAnsi="Courier New"/>
      </w:rPr>
    </w:lvl>
    <w:lvl w:ilvl="2" w:tplc="3F416B37">
      <w:start w:val="1"/>
      <w:numFmt w:val="bullet"/>
      <w:suff w:val="tab"/>
      <w:lvlText w:val=""/>
      <w:lvlJc w:val="left"/>
      <w:pPr>
        <w:ind w:hanging="360" w:left="2160"/>
        <w:tabs>
          <w:tab w:val="num" w:pos="2160" w:leader="none"/>
        </w:tabs>
      </w:pPr>
      <w:rPr>
        <w:rFonts w:ascii="Wingdings" w:hAnsi="Wingdings"/>
      </w:rPr>
    </w:lvl>
    <w:lvl w:ilvl="3" w:tplc="2D338EE3">
      <w:start w:val="1"/>
      <w:numFmt w:val="bullet"/>
      <w:suff w:val="tab"/>
      <w:lvlText w:val=""/>
      <w:lvlJc w:val="left"/>
      <w:pPr>
        <w:ind w:hanging="360" w:left="2880"/>
        <w:tabs>
          <w:tab w:val="num" w:pos="2880" w:leader="none"/>
        </w:tabs>
      </w:pPr>
      <w:rPr>
        <w:rFonts w:ascii="Symbol" w:hAnsi="Symbol"/>
      </w:rPr>
    </w:lvl>
    <w:lvl w:ilvl="4" w:tplc="08E5421D">
      <w:start w:val="1"/>
      <w:numFmt w:val="bullet"/>
      <w:suff w:val="tab"/>
      <w:lvlText w:val="o"/>
      <w:lvlJc w:val="left"/>
      <w:pPr>
        <w:ind w:hanging="360" w:left="3600"/>
        <w:tabs>
          <w:tab w:val="num" w:pos="3600" w:leader="none"/>
        </w:tabs>
      </w:pPr>
      <w:rPr>
        <w:rFonts w:ascii="Courier New" w:hAnsi="Courier New"/>
      </w:rPr>
    </w:lvl>
    <w:lvl w:ilvl="5" w:tplc="3C4212E5">
      <w:start w:val="1"/>
      <w:numFmt w:val="bullet"/>
      <w:suff w:val="tab"/>
      <w:lvlText w:val=""/>
      <w:lvlJc w:val="left"/>
      <w:pPr>
        <w:ind w:hanging="360" w:left="4320"/>
        <w:tabs>
          <w:tab w:val="num" w:pos="4320" w:leader="none"/>
        </w:tabs>
      </w:pPr>
      <w:rPr>
        <w:rFonts w:ascii="Wingdings" w:hAnsi="Wingdings"/>
      </w:rPr>
    </w:lvl>
    <w:lvl w:ilvl="6" w:tplc="1266A66C">
      <w:start w:val="1"/>
      <w:numFmt w:val="bullet"/>
      <w:suff w:val="tab"/>
      <w:lvlText w:val=""/>
      <w:lvlJc w:val="left"/>
      <w:pPr>
        <w:ind w:hanging="360" w:left="5040"/>
        <w:tabs>
          <w:tab w:val="num" w:pos="5040" w:leader="none"/>
        </w:tabs>
      </w:pPr>
      <w:rPr>
        <w:rFonts w:ascii="Symbol" w:hAnsi="Symbol"/>
      </w:rPr>
    </w:lvl>
    <w:lvl w:ilvl="7" w:tplc="33F9AD7F">
      <w:start w:val="1"/>
      <w:numFmt w:val="bullet"/>
      <w:suff w:val="tab"/>
      <w:lvlText w:val="o"/>
      <w:lvlJc w:val="left"/>
      <w:pPr>
        <w:ind w:hanging="360" w:left="5760"/>
        <w:tabs>
          <w:tab w:val="num" w:pos="5760" w:leader="none"/>
        </w:tabs>
      </w:pPr>
      <w:rPr>
        <w:rFonts w:ascii="Courier New" w:hAnsi="Courier New"/>
      </w:rPr>
    </w:lvl>
    <w:lvl w:ilvl="8" w:tplc="7E6D3BB5">
      <w:start w:val="1"/>
      <w:numFmt w:val="bullet"/>
      <w:suff w:val="tab"/>
      <w:lvlText w:val=""/>
      <w:lvlJc w:val="left"/>
      <w:pPr>
        <w:ind w:hanging="360" w:left="6480"/>
        <w:tabs>
          <w:tab w:val="num" w:pos="6480" w:leader="none"/>
        </w:tabs>
      </w:pPr>
      <w:rPr>
        <w:rFonts w:ascii="Wingdings" w:hAnsi="Wingdings"/>
      </w:rPr>
    </w:lvl>
  </w:abstractNum>
  <w:abstractNum w:abstractNumId="9">
    <w:nsid w:val="5A147833"/>
    <w:multiLevelType w:val="hybridMultilevel"/>
    <w:lvl w:ilvl="0" w:tplc="7330ADB7">
      <w:start w:val="0"/>
      <w:numFmt w:val="bullet"/>
      <w:suff w:val="tab"/>
      <w:lvlText w:val=""/>
      <w:lvlJc w:val="left"/>
      <w:pPr>
        <w:ind w:hanging="360" w:left="720"/>
        <w:tabs>
          <w:tab w:val="num" w:pos="720" w:leader="none"/>
        </w:tabs>
      </w:pPr>
      <w:rPr>
        <w:rFonts w:ascii="Symbol" w:hAnsi="Symbol" w:cs="Times New Roman" w:eastAsia="Times New Roman"/>
      </w:rPr>
    </w:lvl>
    <w:lvl w:ilvl="1" w:tplc="4BD30886">
      <w:start w:val="1"/>
      <w:numFmt w:val="bullet"/>
      <w:suff w:val="tab"/>
      <w:lvlText w:val="o"/>
      <w:lvlJc w:val="left"/>
      <w:pPr>
        <w:ind w:hanging="360" w:left="1440"/>
        <w:tabs>
          <w:tab w:val="num" w:pos="1440" w:leader="none"/>
        </w:tabs>
      </w:pPr>
      <w:rPr>
        <w:rFonts w:ascii="Courier New" w:hAnsi="Courier New"/>
      </w:rPr>
    </w:lvl>
    <w:lvl w:ilvl="2" w:tplc="578D1DB1">
      <w:start w:val="1"/>
      <w:numFmt w:val="bullet"/>
      <w:suff w:val="tab"/>
      <w:lvlText w:val=""/>
      <w:lvlJc w:val="left"/>
      <w:pPr>
        <w:ind w:hanging="360" w:left="2160"/>
        <w:tabs>
          <w:tab w:val="num" w:pos="2160" w:leader="none"/>
        </w:tabs>
      </w:pPr>
      <w:rPr>
        <w:rFonts w:ascii="Wingdings" w:hAnsi="Wingdings"/>
      </w:rPr>
    </w:lvl>
    <w:lvl w:ilvl="3" w:tplc="4D464CED">
      <w:start w:val="1"/>
      <w:numFmt w:val="bullet"/>
      <w:suff w:val="tab"/>
      <w:lvlText w:val=""/>
      <w:lvlJc w:val="left"/>
      <w:pPr>
        <w:ind w:hanging="360" w:left="2880"/>
        <w:tabs>
          <w:tab w:val="num" w:pos="2880" w:leader="none"/>
        </w:tabs>
      </w:pPr>
      <w:rPr>
        <w:rFonts w:ascii="Symbol" w:hAnsi="Symbol"/>
      </w:rPr>
    </w:lvl>
    <w:lvl w:ilvl="4" w:tplc="2FD38D3D">
      <w:start w:val="1"/>
      <w:numFmt w:val="bullet"/>
      <w:suff w:val="tab"/>
      <w:lvlText w:val="o"/>
      <w:lvlJc w:val="left"/>
      <w:pPr>
        <w:ind w:hanging="360" w:left="3600"/>
        <w:tabs>
          <w:tab w:val="num" w:pos="3600" w:leader="none"/>
        </w:tabs>
      </w:pPr>
      <w:rPr>
        <w:rFonts w:ascii="Courier New" w:hAnsi="Courier New"/>
      </w:rPr>
    </w:lvl>
    <w:lvl w:ilvl="5" w:tplc="1496166B">
      <w:start w:val="1"/>
      <w:numFmt w:val="bullet"/>
      <w:suff w:val="tab"/>
      <w:lvlText w:val=""/>
      <w:lvlJc w:val="left"/>
      <w:pPr>
        <w:ind w:hanging="360" w:left="4320"/>
        <w:tabs>
          <w:tab w:val="num" w:pos="4320" w:leader="none"/>
        </w:tabs>
      </w:pPr>
      <w:rPr>
        <w:rFonts w:ascii="Wingdings" w:hAnsi="Wingdings"/>
      </w:rPr>
    </w:lvl>
    <w:lvl w:ilvl="6" w:tplc="53C66E92">
      <w:start w:val="1"/>
      <w:numFmt w:val="bullet"/>
      <w:suff w:val="tab"/>
      <w:lvlText w:val=""/>
      <w:lvlJc w:val="left"/>
      <w:pPr>
        <w:ind w:hanging="360" w:left="5040"/>
        <w:tabs>
          <w:tab w:val="num" w:pos="5040" w:leader="none"/>
        </w:tabs>
      </w:pPr>
      <w:rPr>
        <w:rFonts w:ascii="Symbol" w:hAnsi="Symbol"/>
      </w:rPr>
    </w:lvl>
    <w:lvl w:ilvl="7" w:tplc="38859456">
      <w:start w:val="1"/>
      <w:numFmt w:val="bullet"/>
      <w:suff w:val="tab"/>
      <w:lvlText w:val="o"/>
      <w:lvlJc w:val="left"/>
      <w:pPr>
        <w:ind w:hanging="360" w:left="5760"/>
        <w:tabs>
          <w:tab w:val="num" w:pos="5760" w:leader="none"/>
        </w:tabs>
      </w:pPr>
      <w:rPr>
        <w:rFonts w:ascii="Courier New" w:hAnsi="Courier New"/>
      </w:rPr>
    </w:lvl>
    <w:lvl w:ilvl="8" w:tplc="094419B7">
      <w:start w:val="1"/>
      <w:numFmt w:val="bullet"/>
      <w:suff w:val="tab"/>
      <w:lvlText w:val=""/>
      <w:lvlJc w:val="left"/>
      <w:pPr>
        <w:ind w:hanging="360" w:left="6480"/>
        <w:tabs>
          <w:tab w:val="num" w:pos="6480" w:leader="none"/>
        </w:tabs>
      </w:pPr>
      <w:rPr>
        <w:rFonts w:ascii="Wingdings" w:hAnsi="Wingdings"/>
      </w:rPr>
    </w:lvl>
  </w:abstractNum>
  <w:abstractNum w:abstractNumId="10">
    <w:nsid w:val="5BD9562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721F70C7"/>
    <w:multiLevelType w:val="multilevel"/>
    <w:lvl w:ilvl="0">
      <w:start w:val="1"/>
      <w:numFmt w:val="decimal"/>
      <w:suff w:val="tab"/>
      <w:lvlText w:val="%1)"/>
      <w:lvlJc w:val="left"/>
      <w:pPr>
        <w:ind w:hanging="435" w:left="577"/>
        <w:tabs>
          <w:tab w:val="num" w:pos="577" w:leader="none"/>
        </w:tabs>
      </w:pPr>
      <w:rPr/>
    </w:lvl>
    <w:lvl w:ilvl="1">
      <w:start w:val="1"/>
      <w:numFmt w:val="lowerLetter"/>
      <w:suff w:val="tab"/>
      <w:lvlText w:val="%2."/>
      <w:lvlJc w:val="left"/>
      <w:pPr>
        <w:ind w:hanging="360" w:left="1222"/>
        <w:tabs>
          <w:tab w:val="num" w:pos="1222" w:leader="none"/>
        </w:tabs>
      </w:pPr>
      <w:rPr/>
    </w:lvl>
    <w:lvl w:ilvl="2">
      <w:start w:val="1"/>
      <w:numFmt w:val="lowerRoman"/>
      <w:suff w:val="tab"/>
      <w:lvlText w:val="%3."/>
      <w:lvlJc w:val="right"/>
      <w:pPr>
        <w:ind w:hanging="180" w:left="1942"/>
        <w:tabs>
          <w:tab w:val="num" w:pos="1942" w:leader="none"/>
        </w:tabs>
      </w:pPr>
      <w:rPr/>
    </w:lvl>
    <w:lvl w:ilvl="3">
      <w:start w:val="1"/>
      <w:numFmt w:val="decimal"/>
      <w:suff w:val="tab"/>
      <w:lvlText w:val="%4."/>
      <w:lvlJc w:val="left"/>
      <w:pPr>
        <w:ind w:hanging="360" w:left="2662"/>
        <w:tabs>
          <w:tab w:val="num" w:pos="2662" w:leader="none"/>
        </w:tabs>
      </w:pPr>
      <w:rPr/>
    </w:lvl>
    <w:lvl w:ilvl="4">
      <w:start w:val="1"/>
      <w:numFmt w:val="lowerLetter"/>
      <w:suff w:val="tab"/>
      <w:lvlText w:val="%5."/>
      <w:lvlJc w:val="left"/>
      <w:pPr>
        <w:ind w:hanging="360" w:left="3382"/>
        <w:tabs>
          <w:tab w:val="num" w:pos="3382" w:leader="none"/>
        </w:tabs>
      </w:pPr>
      <w:rPr/>
    </w:lvl>
    <w:lvl w:ilvl="5">
      <w:start w:val="1"/>
      <w:numFmt w:val="lowerRoman"/>
      <w:suff w:val="tab"/>
      <w:lvlText w:val="%6."/>
      <w:lvlJc w:val="right"/>
      <w:pPr>
        <w:ind w:hanging="180" w:left="4102"/>
        <w:tabs>
          <w:tab w:val="num" w:pos="4102" w:leader="none"/>
        </w:tabs>
      </w:pPr>
      <w:rPr/>
    </w:lvl>
    <w:lvl w:ilvl="6">
      <w:start w:val="1"/>
      <w:numFmt w:val="decimal"/>
      <w:suff w:val="tab"/>
      <w:lvlText w:val="%7."/>
      <w:lvlJc w:val="left"/>
      <w:pPr>
        <w:ind w:hanging="360" w:left="4822"/>
        <w:tabs>
          <w:tab w:val="num" w:pos="4822" w:leader="none"/>
        </w:tabs>
      </w:pPr>
      <w:rPr/>
    </w:lvl>
    <w:lvl w:ilvl="7">
      <w:start w:val="1"/>
      <w:numFmt w:val="lowerLetter"/>
      <w:suff w:val="tab"/>
      <w:lvlText w:val="%8."/>
      <w:lvlJc w:val="left"/>
      <w:pPr>
        <w:ind w:hanging="360" w:left="5542"/>
        <w:tabs>
          <w:tab w:val="num" w:pos="5542" w:leader="none"/>
        </w:tabs>
      </w:pPr>
      <w:rPr/>
    </w:lvl>
    <w:lvl w:ilvl="8">
      <w:start w:val="1"/>
      <w:numFmt w:val="lowerRoman"/>
      <w:suff w:val="tab"/>
      <w:lvlText w:val="%9."/>
      <w:lvlJc w:val="right"/>
      <w:pPr>
        <w:ind w:hanging="180" w:left="6262"/>
        <w:tabs>
          <w:tab w:val="num" w:pos="6262" w:leader="none"/>
        </w:tabs>
      </w:pPr>
      <w:rPr/>
    </w:lvl>
  </w:abstractNum>
  <w:abstractNum w:abstractNumId="12">
    <w:nsid w:val="765438A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798D7BCE"/>
    <w:multiLevelType w:val="hybridMultilevel"/>
    <w:lvl w:ilvl="0" w:tplc="1C37A792">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7"/>
  </w:num>
  <w:num w:numId="2">
    <w:abstractNumId w:val="13"/>
  </w:num>
  <w:num w:numId="3">
    <w:abstractNumId w:val="10"/>
  </w:num>
  <w:num w:numId="4">
    <w:abstractNumId w:val="5"/>
  </w:num>
  <w:num w:numId="5">
    <w:abstractNumId w:val="0"/>
  </w:num>
  <w:num w:numId="6">
    <w:abstractNumId w:val="1"/>
  </w:num>
  <w:num w:numId="7">
    <w:abstractNumId w:val="3"/>
  </w:num>
  <w:num w:numId="8">
    <w:abstractNumId w:val="12"/>
  </w:num>
  <w:num w:numId="9">
    <w:abstractNumId w:val="11"/>
  </w:num>
  <w:num w:numId="10">
    <w:abstractNumId w:val="9"/>
  </w:num>
  <w:num w:numId="11">
    <w:abstractNumId w:val="4"/>
  </w:num>
  <w:num w:numId="12">
    <w:abstractNumId w:val="8"/>
  </w:num>
  <w:num w:numId="13">
    <w:abstractNumId w:val="6"/>
  </w:num>
  <w:num w:numId="14">
    <w:abstractNumId w:val="2"/>
  </w:num>
</w:numbering>
</file>

<file path=word/settings.xml><?xml version="1.0" encoding="utf-8"?>
<w:settings xmlns:r="http://schemas.openxmlformats.org/officeDocument/2006/relationships" xmlns:w="http://schemas.openxmlformats.org/wordprocessingml/2006/main">
  <w:displayBackgroundShape w:val="1"/>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outlineLvl w:val="0"/>
    </w:pPr>
    <w:rPr>
      <w:b w:val="1"/>
      <w:i w:val="1"/>
      <w:bCs w:val="1"/>
      <w:iCs w:val="1"/>
      <w:sz w:val="24"/>
      <w:szCs w:val="24"/>
    </w:rPr>
  </w:style>
  <w:style w:type="paragraph" w:styleId="P2">
    <w:name w:val="Heading 2"/>
    <w:basedOn w:val="P0"/>
    <w:next w:val="P0"/>
    <w:pPr>
      <w:keepNext w:val="1"/>
      <w:ind w:left="4956"/>
      <w:jc w:val="both"/>
      <w:outlineLvl w:val="1"/>
    </w:pPr>
    <w:rPr>
      <w:b w:val="1"/>
      <w:i w:val="1"/>
      <w:bCs w:val="1"/>
      <w:iCs w:val="1"/>
      <w:sz w:val="24"/>
      <w:szCs w:val="24"/>
    </w:rPr>
  </w:style>
  <w:style w:type="paragraph" w:styleId="P3">
    <w:name w:val="Heading 3"/>
    <w:basedOn w:val="P0"/>
    <w:next w:val="P0"/>
    <w:pPr>
      <w:keepNext w:val="1"/>
      <w:jc w:val="center"/>
      <w:outlineLvl w:val="2"/>
    </w:pPr>
    <w:rPr>
      <w:i w:val="1"/>
      <w:iCs w:val="1"/>
      <w:sz w:val="24"/>
      <w:szCs w:val="24"/>
      <w:u w:val="single"/>
    </w:rPr>
  </w:style>
  <w:style w:type="paragraph" w:styleId="P4">
    <w:name w:val="Heading 4"/>
    <w:basedOn w:val="P0"/>
    <w:next w:val="P0"/>
    <w:pPr>
      <w:keepNext w:val="1"/>
      <w:tabs>
        <w:tab w:val="left" w:pos="0" w:leader="none"/>
      </w:tabs>
      <w:ind w:firstLine="142"/>
      <w:jc w:val="right"/>
      <w:outlineLvl w:val="3"/>
    </w:pPr>
    <w:rPr>
      <w:rFonts w:ascii="Arial" w:hAnsi="Arial"/>
      <w:sz w:val="24"/>
      <w:szCs w:val="24"/>
    </w:rPr>
  </w:style>
  <w:style w:type="paragraph" w:styleId="P5">
    <w:name w:val="Heading 5"/>
    <w:basedOn w:val="P0"/>
    <w:next w:val="P0"/>
    <w:pPr>
      <w:keepNext w:val="1"/>
      <w:outlineLvl w:val="4"/>
    </w:pPr>
    <w:rPr/>
  </w:style>
  <w:style w:type="paragraph" w:styleId="P6">
    <w:name w:val="Heading 6"/>
    <w:basedOn w:val="P0"/>
    <w:next w:val="P0"/>
    <w:pPr>
      <w:keepNext w:val="1"/>
      <w:tabs>
        <w:tab w:val="left" w:pos="0" w:leader="none"/>
      </w:tabs>
      <w:jc w:val="both"/>
      <w:outlineLvl w:val="5"/>
    </w:pPr>
    <w:rPr>
      <w:rFonts w:ascii="Arial" w:hAnsi="Arial"/>
      <w:b w:val="1"/>
      <w:i w:val="1"/>
      <w:bCs w:val="1"/>
      <w:iCs w:val="1"/>
      <w:sz w:val="24"/>
      <w:szCs w:val="24"/>
      <w:lang w:val="es-AR"/>
    </w:rPr>
  </w:style>
  <w:style w:type="paragraph" w:styleId="P7">
    <w:name w:val="Heading 7"/>
    <w:basedOn w:val="P0"/>
    <w:next w:val="P0"/>
    <w:pPr>
      <w:keepNext w:val="1"/>
      <w:jc w:val="center"/>
      <w:outlineLvl w:val="6"/>
    </w:pPr>
    <w:rPr>
      <w:rFonts w:ascii="Courier New" w:hAnsi="Courier New"/>
      <w:b w:val="1"/>
      <w:bCs w:val="1"/>
      <w:sz w:val="24"/>
      <w:szCs w:val="24"/>
      <w:lang w:val="es-AR"/>
    </w:rPr>
  </w:style>
  <w:style w:type="paragraph" w:styleId="P8">
    <w:name w:val="Heading 8"/>
    <w:basedOn w:val="P0"/>
    <w:next w:val="P0"/>
    <w:pPr>
      <w:keepNext w:val="1"/>
      <w:ind w:hanging="709" w:left="709"/>
      <w:jc w:val="both"/>
      <w:outlineLvl w:val="7"/>
    </w:pPr>
    <w:rPr>
      <w:rFonts w:ascii="Courier New" w:hAnsi="Courier New"/>
      <w:sz w:val="24"/>
      <w:szCs w:val="24"/>
    </w:rPr>
  </w:style>
  <w:style w:type="paragraph" w:styleId="P9">
    <w:name w:val="Header"/>
    <w:basedOn w:val="P0"/>
    <w:next w:val="P9"/>
    <w:pPr>
      <w:tabs>
        <w:tab w:val="center" w:pos="4252" w:leader="none"/>
        <w:tab w:val="right" w:pos="8504" w:leader="none"/>
      </w:tabs>
    </w:pPr>
    <w:rPr>
      <w:sz w:val="24"/>
      <w:szCs w:val="24"/>
      <w:lang w:val="es-AR"/>
    </w:rPr>
  </w:style>
  <w:style w:type="paragraph" w:styleId="P10">
    <w:name w:val="Body Text"/>
    <w:basedOn w:val="P0"/>
    <w:next w:val="P10"/>
    <w:pPr>
      <w:jc w:val="both"/>
    </w:pPr>
    <w:rPr>
      <w:b w:val="1"/>
      <w:bCs w:val="1"/>
    </w:rPr>
  </w:style>
  <w:style w:type="paragraph" w:styleId="P11">
    <w:name w:val="Body Text 2"/>
    <w:basedOn w:val="P0"/>
    <w:next w:val="P11"/>
    <w:pPr>
      <w:jc w:val="both"/>
    </w:pPr>
    <w:rPr>
      <w:i w:val="1"/>
      <w:iCs w:val="1"/>
      <w:sz w:val="24"/>
      <w:szCs w:val="24"/>
    </w:rPr>
  </w:style>
  <w:style w:type="paragraph" w:styleId="P12">
    <w:name w:val="Body Text 3"/>
    <w:basedOn w:val="P0"/>
    <w:next w:val="P12"/>
    <w:pPr>
      <w:jc w:val="both"/>
    </w:pPr>
    <w:rPr>
      <w:rFonts w:ascii="Arial" w:hAnsi="Arial"/>
      <w:b w:val="1"/>
      <w:bCs w:val="1"/>
      <w:sz w:val="24"/>
      <w:szCs w:val="24"/>
    </w:rPr>
  </w:style>
  <w:style w:type="paragraph" w:styleId="P13">
    <w:name w:val="Body Text Indent"/>
    <w:basedOn w:val="P0"/>
    <w:next w:val="P13"/>
    <w:pPr>
      <w:tabs>
        <w:tab w:val="left" w:pos="993" w:leader="none"/>
      </w:tabs>
      <w:ind w:hanging="993" w:left="993"/>
      <w:jc w:val="both"/>
    </w:pPr>
    <w:rPr>
      <w:rFonts w:ascii="Arial" w:hAnsi="Arial"/>
      <w:b w:val="1"/>
      <w:i w:val="1"/>
      <w:bCs w:val="1"/>
      <w:iCs w:val="1"/>
      <w:sz w:val="24"/>
      <w:szCs w:val="24"/>
      <w:lang w:val="es-AR"/>
    </w:rPr>
  </w:style>
  <w:style w:type="paragraph" w:styleId="P14">
    <w:name w:val="Footer"/>
    <w:basedOn w:val="P0"/>
    <w:next w:val="P14"/>
    <w:pPr>
      <w:tabs>
        <w:tab w:val="center" w:pos="4252" w:leader="none"/>
        <w:tab w:val="right" w:pos="8504" w:leader="none"/>
      </w:tabs>
    </w:pPr>
    <w:rPr/>
  </w:style>
  <w:style w:type="paragraph" w:styleId="P15">
    <w:name w:val="Body Text Indent 2"/>
    <w:basedOn w:val="P0"/>
    <w:next w:val="P15"/>
    <w:pPr>
      <w:ind w:left="993"/>
      <w:jc w:val="both"/>
    </w:pPr>
    <w:rPr>
      <w:rFonts w:ascii="Courier New" w:hAnsi="Courier New"/>
      <w:sz w:val="24"/>
      <w:szCs w:val="24"/>
    </w:rPr>
  </w:style>
  <w:style w:type="paragraph" w:styleId="P16">
    <w:name w:val="Body Text Indent 3"/>
    <w:basedOn w:val="P0"/>
    <w:next w:val="P16"/>
    <w:pPr>
      <w:ind w:left="993"/>
      <w:jc w:val="center"/>
    </w:pPr>
    <w:rPr>
      <w:rFonts w:ascii="Courier New" w:hAnsi="Courier New"/>
      <w:b w:val="1"/>
      <w:bCs w:val="1"/>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municipalidad alta gracia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Procuración</dc:creator>
  <dcterms:created xsi:type="dcterms:W3CDTF">2026-07-09T19:26:06Z</dcterms:created>
  <cp:lastModifiedBy>Federico Parisi</cp:lastModifiedBy>
  <cp:lastPrinted>2004-04-09T00:01:00Z</cp:lastPrinted>
  <dcterms:modified xsi:type="dcterms:W3CDTF">2026-07-09T19:26:06Z</dcterms:modified>
  <cp:revision>2</cp:revision>
  <dc:title>tyyutyip</dc:title>
</cp:coreProperties>
</file>