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both"/>
      </w:pPr>
    </w:p>
    <w:p>
      <w:pPr>
        <w:pStyle w:val="P1"/>
      </w:pPr>
      <w:r>
        <w:t xml:space="preserve">ORDENANZA  N°  6882</w:t>
      </w:r>
    </w:p>
    <w:p>
      <w:pPr>
        <w:pStyle w:val="P1"/>
        <w:jc w:val="both"/>
      </w:pPr>
    </w:p>
    <w:p>
      <w:pPr>
        <w:pStyle w:val="P1"/>
        <w:jc w:val="both"/>
        <w:rPr>
          <w:b w:val="1"/>
          <w:bCs w:val="1"/>
        </w:rPr>
      </w:pPr>
    </w:p>
    <w:p>
      <w:pPr>
        <w:pStyle w:val="P1"/>
        <w:ind w:hanging="567"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 xml:space="preserve">Visto: Los Acuerdos elevados por el Departamento Ejecutivo, ratificando Convenios entre la Municipalidad de Alta Gracia  y las Comunas de Potrero de Garay, San Clemente, Villa La Bolsa, Los Cedros, Los Aromos, Villa del Prado, La Rancherita y  Las Cascadas; y </w:t>
      </w: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</w:p>
    <w:p>
      <w:pPr>
        <w:pStyle w:val="P1"/>
        <w:ind w:hanging="993" w:left="567"/>
        <w:rPr>
          <w:u w:val="none"/>
        </w:rPr>
      </w:pPr>
      <w:r>
        <w:rPr>
          <w:u w:val="none"/>
        </w:rPr>
        <w:t>C O N S I D E R A N D O</w:t>
      </w: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 xml:space="preserve">       Que la Ordenanza Nº 6852 prorroga y amplia la facultad otorgada a los Tribunales Administrativos de Faltas de la Ciudad de Alta Gracia determinada en el artículo 1º de la Ordenanza Nº 1572 al efecto del juzgamiento de las contravenciones  y/o faltas a la Ley Provincial Nº</w:t>
      </w: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 xml:space="preserve">       8560 y 9022 en el ámbito territorial de aquellas Comunas que por Acto y Convenio expreso reconocen y  delegan en éstos su jurisdicción y competencia;   </w:t>
      </w: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 xml:space="preserve">       </w:t>
      </w: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 xml:space="preserve">       Que las Comunas de Potrero de Garay, San Clemente, Villa La Bolsa, Los Cedros, Los Aromos, Villa del Prado, La Rancherita y Las Cascadas, adhieren a la vigencia de la Ordenanza Municipal N° 6852 como también de la Ley Provincial de Tránsito N° 8560 y su modificatoria N° 9022.</w:t>
      </w:r>
    </w:p>
    <w:p>
      <w:pPr>
        <w:pStyle w:val="P1"/>
        <w:ind w:left="567"/>
        <w:jc w:val="both"/>
        <w:rPr>
          <w:b w:val="1"/>
          <w:bCs w:val="1"/>
          <w:u w:val="none"/>
        </w:rPr>
      </w:pPr>
    </w:p>
    <w:p>
      <w:pPr>
        <w:pStyle w:val="P1"/>
        <w:ind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 xml:space="preserve">Que las mencionadas Comunas han confeccionado la legislación acorde a lo requerido por Ordenanza Nº 6852. </w:t>
      </w:r>
    </w:p>
    <w:p>
      <w:pPr>
        <w:pStyle w:val="P1"/>
        <w:jc w:val="both"/>
        <w:rPr>
          <w:b w:val="1"/>
          <w:bCs w:val="1"/>
          <w:u w:val="none"/>
        </w:rPr>
      </w:pPr>
    </w:p>
    <w:p>
      <w:pPr>
        <w:pStyle w:val="P1"/>
        <w:rPr>
          <w:u w:val="none"/>
        </w:rPr>
      </w:pPr>
      <w:r>
        <w:rPr>
          <w:u w:val="none"/>
        </w:rPr>
        <w:t>EL HONORABLE CONCEJO DELIBERANTE DE LA CIUDAD DE</w:t>
      </w:r>
    </w:p>
    <w:p>
      <w:pPr>
        <w:pStyle w:val="P1"/>
        <w:ind w:left="567"/>
        <w:rPr>
          <w:u w:val="none"/>
        </w:rPr>
      </w:pPr>
    </w:p>
    <w:p>
      <w:pPr>
        <w:pStyle w:val="P1"/>
        <w:ind w:left="567"/>
        <w:rPr>
          <w:u w:val="none"/>
        </w:rPr>
      </w:pPr>
      <w:r>
        <w:rPr>
          <w:u w:val="none"/>
        </w:rPr>
        <w:t>ALTA GRACIA SANCIONA CON FUERZA DE ORDENANZA</w:t>
      </w:r>
    </w:p>
    <w:p>
      <w:pPr>
        <w:pStyle w:val="P1"/>
        <w:ind w:left="567"/>
        <w:rPr>
          <w:b w:val="1"/>
          <w:bCs w:val="1"/>
          <w:u w:val="none"/>
        </w:rPr>
      </w:pPr>
    </w:p>
    <w:p>
      <w:pPr>
        <w:pStyle w:val="P1"/>
        <w:ind w:hanging="1134" w:left="1134"/>
        <w:jc w:val="both"/>
      </w:pPr>
    </w:p>
    <w:p>
      <w:pPr>
        <w:pStyle w:val="P1"/>
        <w:ind w:hanging="1134" w:left="1134"/>
        <w:jc w:val="both"/>
        <w:rPr>
          <w:b w:val="1"/>
          <w:bCs w:val="1"/>
          <w:u w:val="none"/>
        </w:rPr>
      </w:pPr>
      <w:r>
        <w:t>Art.1</w:t>
      </w:r>
      <w:r>
        <w:rPr>
          <w:u w:val="none"/>
        </w:rPr>
        <w:t>:</w:t>
      </w:r>
      <w:r>
        <w:rPr>
          <w:b w:val="0"/>
          <w:bCs w:val="0"/>
          <w:u w:val="none"/>
        </w:rPr>
        <w:t xml:space="preserve"> </w:t>
      </w:r>
      <w:r>
        <w:rPr>
          <w:u w:val="none"/>
        </w:rPr>
        <w:t>RATIFICANSE</w:t>
      </w:r>
      <w:r>
        <w:rPr>
          <w:b w:val="0"/>
          <w:bCs w:val="0"/>
          <w:u w:val="none"/>
        </w:rPr>
        <w:t xml:space="preserve"> en todos sus términos los Convenios celebrados entre la Municipalidad de Alta Gracia, y las Comunas de Potrero de Garay, San Clemente, Villa La Bolsa, Los Cedros, Los Aromos, La Rancherita y Las Cascadas, firmados con fecha 23 de enero de 2004 y con la Comuna de Villa del Prado el 16 de marzo de 2004, respecto a la ampliación de la jurisdicción y competencia de los Tribunales Administrativos de Faltas. </w:t>
      </w:r>
    </w:p>
    <w:p>
      <w:pPr>
        <w:pStyle w:val="P1"/>
        <w:ind w:left="567"/>
        <w:jc w:val="both"/>
        <w:rPr>
          <w:b w:val="1"/>
          <w:bCs w:val="1"/>
          <w:u w:val="none"/>
        </w:rPr>
      </w:pPr>
    </w:p>
    <w:p>
      <w:pPr>
        <w:pStyle w:val="P1"/>
        <w:ind w:hanging="1134" w:left="1134"/>
        <w:jc w:val="both"/>
      </w:pPr>
    </w:p>
    <w:p>
      <w:pPr>
        <w:pStyle w:val="P1"/>
        <w:ind w:hanging="1134" w:left="1134"/>
        <w:jc w:val="both"/>
      </w:pPr>
    </w:p>
    <w:p>
      <w:pPr>
        <w:pStyle w:val="P1"/>
        <w:ind w:hanging="1134" w:left="1134"/>
        <w:jc w:val="both"/>
      </w:pPr>
    </w:p>
    <w:p>
      <w:pPr>
        <w:pStyle w:val="P1"/>
        <w:ind w:hanging="1134" w:left="1134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>...///2</w:t>
      </w:r>
    </w:p>
    <w:p>
      <w:pPr>
        <w:pStyle w:val="P1"/>
        <w:ind w:hanging="1134" w:left="1134"/>
        <w:jc w:val="both"/>
      </w:pPr>
    </w:p>
    <w:p>
      <w:pPr>
        <w:pStyle w:val="P1"/>
        <w:ind w:hanging="1134" w:left="1134"/>
        <w:jc w:val="both"/>
      </w:pPr>
    </w:p>
    <w:p>
      <w:pPr>
        <w:pStyle w:val="P1"/>
        <w:ind w:hanging="1134" w:left="1134"/>
        <w:jc w:val="both"/>
        <w:rPr>
          <w:b w:val="1"/>
          <w:bCs w:val="1"/>
          <w:u w:val="none"/>
        </w:rPr>
      </w:pPr>
      <w:r>
        <w:t>Art.2</w:t>
      </w:r>
      <w:r>
        <w:rPr>
          <w:u w:val="none"/>
        </w:rPr>
        <w:t>:</w:t>
      </w:r>
      <w:r>
        <w:rPr>
          <w:b w:val="0"/>
          <w:bCs w:val="0"/>
          <w:u w:val="none"/>
        </w:rPr>
        <w:t xml:space="preserve"> </w:t>
      </w:r>
      <w:r>
        <w:rPr>
          <w:u w:val="none"/>
        </w:rPr>
        <w:t>COMUNÍQUESE,</w:t>
      </w:r>
      <w:r>
        <w:rPr>
          <w:b w:val="0"/>
          <w:bCs w:val="0"/>
          <w:u w:val="none"/>
        </w:rPr>
        <w:t xml:space="preserve"> publíquese, transcríbase al Libro de Ordenanzas y archívese.</w:t>
      </w:r>
    </w:p>
    <w:p>
      <w:pPr>
        <w:pStyle w:val="P1"/>
        <w:ind w:hanging="1134" w:left="1134"/>
        <w:jc w:val="both"/>
      </w:pPr>
    </w:p>
    <w:p>
      <w:pPr>
        <w:pStyle w:val="P1"/>
        <w:ind w:hanging="1134" w:left="1134"/>
        <w:jc w:val="both"/>
        <w:rPr>
          <w:b w:val="1"/>
          <w:bCs w:val="1"/>
          <w:u w:val="none"/>
        </w:rPr>
      </w:pPr>
    </w:p>
    <w:p>
      <w:pPr>
        <w:pStyle w:val="P1"/>
        <w:jc w:val="both"/>
        <w:rPr>
          <w:b w:val="1"/>
          <w:bCs w:val="1"/>
          <w:u w:val="none"/>
        </w:rPr>
      </w:pPr>
    </w:p>
    <w:p>
      <w:pPr>
        <w:pStyle w:val="P1"/>
        <w:jc w:val="both"/>
        <w:rPr>
          <w:u w:val="none"/>
        </w:rPr>
      </w:pPr>
      <w:r>
        <w:rPr>
          <w:u w:val="none"/>
        </w:rPr>
        <w:t xml:space="preserve">DADA EN LA SALA DE SESIONES DEL HONORABLE CONCEJO DELIBERANTE A LOS VEINTINUEVE DIAS DEL MES DE ABRIL DEL AÑO DOS MIL CUATRO. </w:t>
      </w:r>
    </w:p>
    <w:sectPr>
      <w:type w:val="nextPage"/>
      <w:pgSz w:w="11907" w:h="16840" w:code="0"/>
      <w:pgMar w:left="1701" w:right="1701" w:top="1418" w:bottom="1418" w:header="720" w:footer="720" w:gutter="0"/>
      <w:formProt w:val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doNotExpandShiftReturn/>
    <w:splitPgBreakAndParaMark/>
    <w:growAutofit/>
    <w:doNotBreakConstrainedForcedTable/>
    <w:doNotVertAlignCellWithSp/>
    <w:footnoteLayoutLikeWW8/>
    <w:shap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</w:rPr>
  </w:style>
  <w:style w:type="paragraph" w:styleId="P1">
    <w:name w:val="Title"/>
    <w:basedOn w:val="P0"/>
    <w:next w:val="P1"/>
    <w:pPr>
      <w:jc w:val="center"/>
    </w:pPr>
    <w:rPr>
      <w:rFonts w:ascii="Courier New" w:hAnsi="Courier New"/>
      <w:b w:val="1"/>
      <w:bCs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ALEJANDRO SANS</dc:creator>
  <dcterms:created xsi:type="dcterms:W3CDTF">2026-07-09T19:26:14Z</dcterms:created>
  <cp:lastModifiedBy>Federico Parisi</cp:lastModifiedBy>
  <cp:lastPrinted>2004-05-10T15:04:00Z</cp:lastPrinted>
  <dcterms:modified xsi:type="dcterms:W3CDTF">2026-07-09T19:26:14Z</dcterms:modified>
  <cp:revision>2</cp:revision>
  <dc:title>ORDENANZA  Nº  6861</dc:title>
</cp:coreProperties>
</file>