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both"/>
        <w:rPr>
          <w:b w:val="1"/>
          <w:bCs w:val="1"/>
          <w:sz w:val="24"/>
          <w:szCs w:val="24"/>
        </w:rPr>
      </w:pPr>
    </w:p>
    <w:p>
      <w:pPr>
        <w:pStyle w:val="P2"/>
        <w:jc w:val="both"/>
        <w:rPr>
          <w:b w:val="1"/>
          <w:bCs w:val="1"/>
          <w:sz w:val="24"/>
          <w:szCs w:val="24"/>
        </w:rPr>
      </w:pPr>
    </w:p>
    <w:p>
      <w:pPr>
        <w:pStyle w:val="P2"/>
        <w:jc w:val="both"/>
        <w:rPr>
          <w:b w:val="1"/>
          <w:bCs w:val="1"/>
          <w:sz w:val="24"/>
          <w:szCs w:val="24"/>
        </w:rPr>
      </w:pPr>
    </w:p>
    <w:p>
      <w:pPr>
        <w:pStyle w:val="P2"/>
        <w:jc w:val="both"/>
        <w:rPr>
          <w:b w:val="1"/>
          <w:bCs w:val="1"/>
          <w:sz w:val="24"/>
          <w:szCs w:val="24"/>
        </w:rPr>
      </w:pPr>
    </w:p>
    <w:p>
      <w:pPr>
        <w:pStyle w:val="P2"/>
        <w:jc w:val="both"/>
        <w:rPr>
          <w:b w:val="1"/>
          <w:bCs w:val="1"/>
          <w:sz w:val="24"/>
          <w:szCs w:val="24"/>
        </w:rPr>
      </w:pPr>
    </w:p>
    <w:p>
      <w:pPr>
        <w:pStyle w:val="P2"/>
        <w:jc w:val="center"/>
        <w:rPr>
          <w:b w:val="1"/>
          <w:bCs w:val="1"/>
          <w:sz w:val="24"/>
          <w:szCs w:val="24"/>
          <w:u w:val="single"/>
        </w:rPr>
      </w:pPr>
      <w:r>
        <w:rPr>
          <w:b w:val="1"/>
          <w:bCs w:val="1"/>
          <w:sz w:val="24"/>
          <w:szCs w:val="24"/>
          <w:u w:val="single"/>
        </w:rPr>
        <w:t xml:space="preserve">ORDENANZA  N°  6896</w:t>
      </w:r>
    </w:p>
    <w:p>
      <w:pPr>
        <w:pStyle w:val="P2"/>
        <w:jc w:val="both"/>
        <w:rPr>
          <w:b w:val="1"/>
          <w:bCs w:val="1"/>
          <w:sz w:val="24"/>
          <w:szCs w:val="24"/>
        </w:rPr>
      </w:pPr>
    </w:p>
    <w:p>
      <w:pPr>
        <w:pStyle w:val="P2"/>
        <w:jc w:val="both"/>
        <w:rPr>
          <w:sz w:val="24"/>
          <w:szCs w:val="24"/>
        </w:rPr>
      </w:pPr>
    </w:p>
    <w:p>
      <w:pPr>
        <w:pStyle w:val="P2"/>
        <w:jc w:val="both"/>
        <w:rPr>
          <w:sz w:val="24"/>
          <w:szCs w:val="24"/>
        </w:rPr>
      </w:pPr>
    </w:p>
    <w:p>
      <w:pPr>
        <w:pStyle w:val="P2"/>
        <w:ind w:hanging="709" w:left="709"/>
        <w:jc w:val="both"/>
        <w:rPr>
          <w:sz w:val="24"/>
          <w:szCs w:val="24"/>
        </w:rPr>
      </w:pPr>
      <w:r>
        <w:rPr>
          <w:sz w:val="24"/>
          <w:szCs w:val="24"/>
        </w:rPr>
        <w:t>Visto:</w:t>
      </w:r>
      <w:r>
        <w:rPr>
          <w:b w:val="1"/>
          <w:bCs w:val="1"/>
          <w:sz w:val="24"/>
          <w:szCs w:val="24"/>
        </w:rPr>
        <w:t xml:space="preserve"> </w:t>
      </w:r>
      <w:r>
        <w:rPr>
          <w:sz w:val="24"/>
          <w:szCs w:val="24"/>
        </w:rPr>
        <w:t>El Expediente Administrativo 60-I-99, mediante el cual la Cooperativa de Vivienda, Crédito y Consumo “Nuevo Amanecer” Ltda., propone al Municipio la concreción de un Loteo destinado a un Plan de Viviendas para sus asociados, y</w:t>
      </w:r>
    </w:p>
    <w:p>
      <w:pPr>
        <w:pStyle w:val="P2"/>
        <w:jc w:val="both"/>
        <w:rPr>
          <w:sz w:val="24"/>
          <w:szCs w:val="24"/>
        </w:rPr>
      </w:pPr>
    </w:p>
    <w:p>
      <w:pPr>
        <w:pStyle w:val="P2"/>
        <w:jc w:val="both"/>
        <w:rPr>
          <w:sz w:val="24"/>
          <w:szCs w:val="24"/>
        </w:rPr>
      </w:pPr>
    </w:p>
    <w:p>
      <w:pPr>
        <w:pStyle w:val="P2"/>
        <w:jc w:val="center"/>
        <w:rPr>
          <w:b w:val="1"/>
          <w:bCs w:val="1"/>
          <w:sz w:val="24"/>
          <w:szCs w:val="24"/>
        </w:rPr>
      </w:pPr>
      <w:r>
        <w:rPr>
          <w:b w:val="1"/>
          <w:bCs w:val="1"/>
          <w:sz w:val="24"/>
          <w:szCs w:val="24"/>
        </w:rPr>
        <w:t>C O N S I D E R A N D O</w:t>
      </w:r>
    </w:p>
    <w:p>
      <w:pPr>
        <w:pStyle w:val="P2"/>
        <w:jc w:val="both"/>
        <w:rPr>
          <w:sz w:val="24"/>
          <w:szCs w:val="24"/>
        </w:rPr>
      </w:pPr>
    </w:p>
    <w:p>
      <w:pPr>
        <w:pStyle w:val="P2"/>
        <w:jc w:val="both"/>
        <w:rPr>
          <w:sz w:val="24"/>
          <w:szCs w:val="24"/>
        </w:rPr>
      </w:pPr>
    </w:p>
    <w:p>
      <w:pPr>
        <w:pStyle w:val="P2"/>
        <w:ind w:left="709"/>
        <w:jc w:val="both"/>
        <w:rPr>
          <w:sz w:val="24"/>
          <w:szCs w:val="24"/>
        </w:rPr>
      </w:pPr>
      <w:r>
        <w:rPr>
          <w:sz w:val="24"/>
          <w:szCs w:val="24"/>
        </w:rPr>
        <w:t>Que la Constitución de la Provincia de Córdoba, en su articulo 180, reconoce la Autonomía Municipal plena, sosteniendo que los Municipios son independientes de todo otro poder en el ejercicio de sus atribuciones;</w:t>
      </w:r>
    </w:p>
    <w:p>
      <w:pPr>
        <w:pStyle w:val="P2"/>
        <w:ind w:left="709"/>
        <w:jc w:val="both"/>
        <w:rPr>
          <w:sz w:val="24"/>
          <w:szCs w:val="24"/>
        </w:rPr>
      </w:pPr>
    </w:p>
    <w:p>
      <w:pPr>
        <w:pStyle w:val="P2"/>
        <w:ind w:left="709"/>
        <w:jc w:val="both"/>
        <w:rPr>
          <w:sz w:val="24"/>
          <w:szCs w:val="24"/>
        </w:rPr>
      </w:pPr>
      <w:r>
        <w:rPr>
          <w:sz w:val="24"/>
          <w:szCs w:val="24"/>
        </w:rPr>
        <w:t>Que entre tales facultades, el articulo 186 de la misma Carta Magna Provincial, en sus incisos 7 y 11, discrimina la regulación del uso de suelo, control de la construcción, regulación y coordinación de planes urbanísticos y edilicios;</w:t>
      </w:r>
    </w:p>
    <w:p>
      <w:pPr>
        <w:pStyle w:val="P2"/>
        <w:ind w:left="709"/>
        <w:jc w:val="both"/>
        <w:rPr>
          <w:sz w:val="24"/>
          <w:szCs w:val="24"/>
        </w:rPr>
      </w:pPr>
    </w:p>
    <w:p>
      <w:pPr>
        <w:pStyle w:val="P2"/>
        <w:ind w:left="709"/>
        <w:jc w:val="both"/>
        <w:rPr>
          <w:sz w:val="24"/>
          <w:szCs w:val="24"/>
        </w:rPr>
      </w:pPr>
      <w:r>
        <w:rPr>
          <w:sz w:val="24"/>
          <w:szCs w:val="24"/>
        </w:rPr>
        <w:t>Que en concordancia con la Ley Fundamental de la Provincia, la Carta Orgánica Municipal, en sus artículos 7, 16, 17, 33 inc. 7), 41 inc. 9), determina como de competencia municipal todas las cuestiones atinentes a una adecuada política de planificación urbanística y ambiental;</w:t>
      </w:r>
    </w:p>
    <w:p>
      <w:pPr>
        <w:pStyle w:val="P2"/>
        <w:ind w:left="709"/>
        <w:jc w:val="both"/>
        <w:rPr>
          <w:sz w:val="24"/>
          <w:szCs w:val="24"/>
        </w:rPr>
      </w:pPr>
    </w:p>
    <w:p>
      <w:pPr>
        <w:pStyle w:val="P2"/>
        <w:ind w:left="709"/>
        <w:jc w:val="both"/>
        <w:rPr>
          <w:sz w:val="24"/>
          <w:szCs w:val="24"/>
        </w:rPr>
      </w:pPr>
      <w:r>
        <w:rPr>
          <w:sz w:val="24"/>
          <w:szCs w:val="24"/>
        </w:rPr>
        <w:t>Que en su derivación, y por lo dispuesto en los artículos 192, 193 inc b), corr. y ctes. de la Ordenanza Nº 1294 (Código de Edificación) es competencia exclusiva y excluyente de este Honorable Cuerpo aprobar o desaprobar loteos o parcelamientos con transferencia de superficies al dominio público, mediante el dictado de Ordenanza al efecto;</w:t>
      </w:r>
    </w:p>
    <w:p>
      <w:pPr>
        <w:pStyle w:val="P2"/>
        <w:ind w:left="709"/>
        <w:jc w:val="both"/>
        <w:rPr>
          <w:sz w:val="24"/>
          <w:szCs w:val="24"/>
        </w:rPr>
      </w:pPr>
    </w:p>
    <w:p>
      <w:pPr>
        <w:pStyle w:val="P2"/>
        <w:ind w:left="709"/>
        <w:jc w:val="right"/>
        <w:rPr>
          <w:sz w:val="24"/>
          <w:szCs w:val="24"/>
        </w:rPr>
      </w:pPr>
      <w:r>
        <w:rPr>
          <w:sz w:val="24"/>
          <w:szCs w:val="24"/>
        </w:rPr>
        <w:t>...///</w:t>
      </w: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r>
        <w:rPr>
          <w:sz w:val="24"/>
          <w:szCs w:val="24"/>
        </w:rPr>
        <w:t>...///2.-</w:t>
      </w:r>
    </w:p>
    <w:p>
      <w:pPr>
        <w:pStyle w:val="P2"/>
        <w:ind w:left="709"/>
        <w:jc w:val="both"/>
        <w:rPr>
          <w:sz w:val="24"/>
          <w:szCs w:val="24"/>
        </w:rPr>
      </w:pPr>
      <w:r>
        <w:rPr>
          <w:sz w:val="24"/>
          <w:szCs w:val="24"/>
        </w:rPr>
        <w:t>Que a tal fin, las opiniones e informes técnicos, tales como factibilidades de obra y de servicios, visación previa de planos, etc, constituyen actos preparatorios, destinados a ilustrar desde el punto de vista técnico competencial, la voluntad de quien debe resolver en definitiva, ò, como reza el Capitulo 2 de la Ordenanza Nº 1294, “documentos necesarios para la tramitación de los parcelamientos con transferencia al dominio público”;</w:t>
      </w:r>
    </w:p>
    <w:p>
      <w:pPr>
        <w:pStyle w:val="P2"/>
        <w:ind w:left="709"/>
        <w:jc w:val="both"/>
        <w:rPr>
          <w:sz w:val="24"/>
          <w:szCs w:val="24"/>
        </w:rPr>
      </w:pPr>
    </w:p>
    <w:p>
      <w:pPr>
        <w:pStyle w:val="P2"/>
        <w:ind w:left="709"/>
        <w:jc w:val="both"/>
        <w:rPr>
          <w:sz w:val="24"/>
          <w:szCs w:val="24"/>
        </w:rPr>
      </w:pPr>
      <w:r>
        <w:rPr>
          <w:sz w:val="24"/>
          <w:szCs w:val="24"/>
        </w:rPr>
        <w:t>Que por tanto, el derecho subjetivo de naturaleza administrativa traducido en la potencial aprobación del loteo con destino habitacional, emanada del único Organo que tiene facultades para hacerlo, sólo nace íntegra y acabadamente con ésta, a través de la Ordenanza que la disponga;</w:t>
      </w:r>
    </w:p>
    <w:p>
      <w:pPr>
        <w:pStyle w:val="P2"/>
        <w:ind w:left="709"/>
        <w:jc w:val="both"/>
        <w:rPr>
          <w:sz w:val="24"/>
          <w:szCs w:val="24"/>
        </w:rPr>
      </w:pPr>
    </w:p>
    <w:p>
      <w:pPr>
        <w:pStyle w:val="P2"/>
        <w:ind w:left="709"/>
        <w:jc w:val="both"/>
        <w:rPr>
          <w:sz w:val="24"/>
          <w:szCs w:val="24"/>
        </w:rPr>
      </w:pPr>
      <w:r>
        <w:rPr>
          <w:sz w:val="24"/>
          <w:szCs w:val="24"/>
        </w:rPr>
        <w:t>Que en la especie se advierte que, iniciado el trámite en cuestión por la Cooperativa mencionada, se celebra un Convenio entre la Municipalidad de Alta Gracia y la misma, con fecha 16-06-1997 ratificado mediante Decreto Nº 567-99, el cual, elevado ad-referendum de éste Honorable Cuerpo, es devuelto con las observaciones que emergen a fs. 67 vta. del Expediente relacionado;</w:t>
      </w:r>
    </w:p>
    <w:p>
      <w:pPr>
        <w:pStyle w:val="P2"/>
        <w:ind w:left="709"/>
        <w:jc w:val="both"/>
        <w:rPr>
          <w:sz w:val="24"/>
          <w:szCs w:val="24"/>
        </w:rPr>
      </w:pPr>
    </w:p>
    <w:p>
      <w:pPr>
        <w:pStyle w:val="P2"/>
        <w:ind w:left="709"/>
        <w:jc w:val="both"/>
        <w:rPr>
          <w:sz w:val="24"/>
          <w:szCs w:val="24"/>
        </w:rPr>
      </w:pPr>
      <w:r>
        <w:rPr>
          <w:sz w:val="24"/>
          <w:szCs w:val="24"/>
        </w:rPr>
        <w:t>Que con posterioridad, y mediante Convenio celebrado entre las mismas partes con fecha 8-02-02, se deja sin efecto el anterior Convenio. Este acuerdo es ratificado mediante Decreto Nº0084-02, el que elevado nuevamente a consideración de este Honorable Cuerpo es devuelto al Departamento Ejecutivo con las mismas observaciones (Cfr.fs.72);</w:t>
      </w:r>
    </w:p>
    <w:p>
      <w:pPr>
        <w:pStyle w:val="P2"/>
        <w:ind w:left="709"/>
        <w:jc w:val="both"/>
        <w:rPr>
          <w:sz w:val="24"/>
          <w:szCs w:val="24"/>
        </w:rPr>
      </w:pPr>
    </w:p>
    <w:p>
      <w:pPr>
        <w:pStyle w:val="P2"/>
        <w:ind w:left="709"/>
        <w:jc w:val="both"/>
        <w:rPr>
          <w:sz w:val="24"/>
          <w:szCs w:val="24"/>
        </w:rPr>
      </w:pPr>
      <w:r>
        <w:rPr>
          <w:sz w:val="24"/>
          <w:szCs w:val="24"/>
        </w:rPr>
        <w:t>Que en consecuencia, al no haber recibido ratificación parlamentaria, de conformidad a las atribuciones otorgadas por el Art.79 inc.23 de la Carta Orgánica Municipal, el mismo carece de virtualidad y efectos jurídicos;</w:t>
      </w:r>
    </w:p>
    <w:p>
      <w:pPr>
        <w:pStyle w:val="P2"/>
        <w:ind w:left="709"/>
        <w:jc w:val="both"/>
        <w:rPr>
          <w:sz w:val="24"/>
          <w:szCs w:val="24"/>
        </w:rPr>
      </w:pPr>
    </w:p>
    <w:p>
      <w:pPr>
        <w:pStyle w:val="P2"/>
        <w:ind w:left="709"/>
        <w:jc w:val="both"/>
        <w:rPr>
          <w:sz w:val="24"/>
          <w:szCs w:val="24"/>
        </w:rPr>
      </w:pPr>
      <w:r>
        <w:rPr>
          <w:sz w:val="24"/>
          <w:szCs w:val="24"/>
        </w:rPr>
        <w:t xml:space="preserve">Que en orden a los actos preparatorios a que se hiciera mención, se advierte que  los mismos devienen confusos y </w:t>
      </w:r>
    </w:p>
    <w:p>
      <w:pPr>
        <w:pStyle w:val="P2"/>
        <w:ind w:left="709"/>
        <w:jc w:val="right"/>
        <w:rPr>
          <w:sz w:val="24"/>
          <w:szCs w:val="24"/>
        </w:rPr>
      </w:pPr>
      <w:r>
        <w:rPr>
          <w:sz w:val="24"/>
          <w:szCs w:val="24"/>
        </w:rPr>
        <w:t>...///</w:t>
      </w: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r>
        <w:rPr>
          <w:sz w:val="24"/>
          <w:szCs w:val="24"/>
        </w:rPr>
        <w:t>...///3.-</w:t>
      </w:r>
    </w:p>
    <w:p>
      <w:pPr>
        <w:pStyle w:val="P2"/>
        <w:ind w:left="709"/>
        <w:jc w:val="both"/>
        <w:rPr>
          <w:sz w:val="24"/>
          <w:szCs w:val="24"/>
        </w:rPr>
      </w:pPr>
      <w:r>
        <w:rPr>
          <w:sz w:val="24"/>
          <w:szCs w:val="24"/>
        </w:rPr>
        <w:t>contradictorios, puesto que a los informes de factibilidad iniciales se contrapone con posterioridad el informe técnico del Area de Riesgo para Inundación de la Ciudad de Alta Gracia elaborado por la Junta Municipal de Defensa Civil (fs.79 a 84), el Informe de la Agencia Córdoba DACyT obrante a fs. 89/90, en cuanto supedita a mayores investigaciones, más detalladas, la determinación de paleocauces, lechos de inundabilidad y/o posibles situaciones de catástrofes por inundación, el Informe de la misma Agencia obrante a fs.110 y fechado el 19-09-03 dirigido al representante de los vecinos del sector que manifiesta que a tal fecha y desde el punto de vista de la normativa ambiental provincial, no se había formado Expediente alguno en relación a la construcción del emprendimiento de marras, el Informe de la misma Agencia fechado el 29-11-02 y glosado a fs.8 del expediente acumulado Nº 1426-01 que manifiesta que es factible el cambio de calificación de mala aptitud ambiental para la radicación de éstas viviendas por el de buena aptitud ambiental, supeditado ello al emplazamiento que se afirma la DIPAS habría efectuado a la COSAG para el mejoramiento de la Planta depuradora de líquidos cloacales, el Informe de la Agencia Córdoba Ambiente S.E., fechado el 6 de mayo de 2004, mediante el que se anoticia que la Empresa Constructora presentó, con fecha 26 de abril de 2004 el Aviso de Proyecto y Manual de Gestión Ambiental para el emprendimiento en cuestión, y que el mismo aún se encuentra siendo analizado a los fines de la Ley 7343;</w:t>
      </w:r>
    </w:p>
    <w:p>
      <w:pPr>
        <w:pStyle w:val="P2"/>
        <w:ind w:left="709"/>
        <w:jc w:val="both"/>
        <w:rPr>
          <w:sz w:val="24"/>
          <w:szCs w:val="24"/>
        </w:rPr>
      </w:pPr>
    </w:p>
    <w:p>
      <w:pPr>
        <w:pStyle w:val="P2"/>
        <w:ind w:left="709"/>
        <w:jc w:val="both"/>
        <w:rPr>
          <w:sz w:val="24"/>
          <w:szCs w:val="24"/>
        </w:rPr>
      </w:pPr>
      <w:r>
        <w:rPr>
          <w:sz w:val="24"/>
          <w:szCs w:val="24"/>
        </w:rPr>
        <w:t xml:space="preserve">Que por otra parte, siendo la solicitante de la aprobación del loteo referenciado la Cooperativa “Nuevo Amanecer”, en determinado momento de la tramitación del Expediente de marras comienza a campear la participación de entes Públicos Provinciales así como la supuesta inclusión del emprendimiento en el Proyecto de Emergencia para la Rehabilitación de los Grupos Vulnerables Afectados por la Inundación en la Ciudad de Córdoba, en el marco del Contrato de Préstamo 1287/OCAR emanado  del  Banco   Interamericano  de  Desarrollo,  a </w:t>
      </w:r>
    </w:p>
    <w:p>
      <w:pPr>
        <w:pStyle w:val="P2"/>
        <w:ind w:left="709"/>
        <w:jc w:val="right"/>
        <w:rPr>
          <w:sz w:val="24"/>
          <w:szCs w:val="24"/>
        </w:rPr>
      </w:pPr>
      <w:r>
        <w:rPr>
          <w:sz w:val="24"/>
          <w:szCs w:val="24"/>
        </w:rPr>
        <w:t>...///</w:t>
      </w: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r>
        <w:rPr>
          <w:sz w:val="24"/>
          <w:szCs w:val="24"/>
        </w:rPr>
        <w:t>...///4.-</w:t>
      </w:r>
    </w:p>
    <w:p>
      <w:pPr>
        <w:pStyle w:val="P2"/>
        <w:ind w:left="709"/>
        <w:jc w:val="both"/>
        <w:rPr>
          <w:sz w:val="24"/>
          <w:szCs w:val="24"/>
        </w:rPr>
      </w:pPr>
      <w:r>
        <w:rPr>
          <w:sz w:val="24"/>
          <w:szCs w:val="24"/>
        </w:rPr>
        <w:t xml:space="preserve">resultas de lo cual comienza a tomar participación en los obrados del rubro la Empresa Constructora “Ingeniería S.R.L.-Ingenieros Carlos y Roberto Trujillo S.R.L.(UTE)” como adjudicataria de la Licitación Pública Nacional Nº 49/2002 cuya contratante sería el Programa de Las Naciones Unidas para el Desarrollo (PNUD); </w:t>
      </w:r>
    </w:p>
    <w:p>
      <w:pPr>
        <w:pStyle w:val="P2"/>
        <w:ind w:left="709"/>
        <w:jc w:val="both"/>
        <w:rPr>
          <w:sz w:val="24"/>
          <w:szCs w:val="24"/>
        </w:rPr>
      </w:pPr>
    </w:p>
    <w:p>
      <w:pPr>
        <w:pStyle w:val="P2"/>
        <w:ind w:left="709"/>
        <w:jc w:val="both"/>
        <w:rPr>
          <w:sz w:val="24"/>
          <w:szCs w:val="24"/>
        </w:rPr>
      </w:pPr>
      <w:r>
        <w:rPr>
          <w:sz w:val="24"/>
          <w:szCs w:val="24"/>
        </w:rPr>
        <w:t>Que tales extremos se vertebran en modo potencial, puesto que a pesar de las notificaciones y emplazamientos efectuados por la Asesoría Letrada Municipal (fs.102, 118, 170, 171, 200, 203 etc.) en derivación del Memorandum Nº 509-03 emanado del Departamento Ejecutivo Municipal (fs. 98 a 101), no ha sido posible determinar hasta el presente con precisión y exactitud y con carácter indubitable, la debida conexidad o derivación causal entre la solicitante originaria y quienes serían los actuales titulares y/o responsables del emprendimiento de que se trata; dada la carencia de los instrumentos formales idóneos que permitan determinar aquélla;</w:t>
      </w:r>
    </w:p>
    <w:p>
      <w:pPr>
        <w:pStyle w:val="P2"/>
        <w:ind w:left="709"/>
        <w:jc w:val="both"/>
        <w:rPr>
          <w:sz w:val="24"/>
          <w:szCs w:val="24"/>
        </w:rPr>
      </w:pPr>
    </w:p>
    <w:p>
      <w:pPr>
        <w:pStyle w:val="P2"/>
        <w:ind w:left="709"/>
        <w:jc w:val="both"/>
        <w:rPr>
          <w:sz w:val="24"/>
          <w:szCs w:val="24"/>
        </w:rPr>
      </w:pPr>
      <w:r>
        <w:rPr>
          <w:sz w:val="24"/>
          <w:szCs w:val="24"/>
        </w:rPr>
        <w:t>Que ello así, por cuanto no puede concluirse a ciencia cierta qué trámite legal y/o administrativo permitió a la Cooperativa “Nuevo Amanecer” la inclusión de su Proyecto de loteo en las mencionadas operatorias de carácter general, si hubo cesión de los terrenos propios (Cfr. fs.16 a 19), a qué título; constituyendo el Convenio de Regularización Dominial obrante a fs.173 así como el Contrato y Resolución de la Agencia Córdoba de Inversión y Financiamiento glosada a fs. 10 a 14 del Expediente Nº 255-04, instrumentos derivados de una vinculación jurídica más abarcativa no acreditada en el expediente, a la par que aparentemente inconexos entre sí;</w:t>
      </w:r>
    </w:p>
    <w:p>
      <w:pPr>
        <w:pStyle w:val="P2"/>
        <w:ind w:left="709"/>
        <w:jc w:val="both"/>
        <w:rPr>
          <w:sz w:val="24"/>
          <w:szCs w:val="24"/>
        </w:rPr>
      </w:pPr>
    </w:p>
    <w:p>
      <w:pPr>
        <w:pStyle w:val="P2"/>
        <w:ind w:left="709"/>
        <w:jc w:val="both"/>
        <w:rPr>
          <w:sz w:val="24"/>
          <w:szCs w:val="24"/>
        </w:rPr>
      </w:pPr>
      <w:r>
        <w:rPr>
          <w:sz w:val="24"/>
          <w:szCs w:val="24"/>
        </w:rPr>
        <w:t xml:space="preserve">Que en consecuencia de todo lo expresado, se considera que, habiendo sido elevado el Expediente de la referencia a consideración de éste Concejo Deliberante a mérito de las competencias que le son propias, no es posible pronunciarse  favorablemente a  la solicitud, en </w:t>
      </w:r>
    </w:p>
    <w:p>
      <w:pPr>
        <w:pStyle w:val="P2"/>
        <w:ind w:left="709"/>
        <w:jc w:val="right"/>
        <w:rPr>
          <w:sz w:val="24"/>
          <w:szCs w:val="24"/>
        </w:rPr>
      </w:pPr>
      <w:r>
        <w:rPr>
          <w:sz w:val="24"/>
          <w:szCs w:val="24"/>
        </w:rPr>
        <w:t>...///</w:t>
      </w: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p>
    <w:p>
      <w:pPr>
        <w:pStyle w:val="P2"/>
        <w:ind w:left="709"/>
        <w:jc w:val="both"/>
        <w:rPr>
          <w:sz w:val="24"/>
          <w:szCs w:val="24"/>
        </w:rPr>
      </w:pPr>
      <w:r>
        <w:rPr>
          <w:sz w:val="24"/>
          <w:szCs w:val="24"/>
        </w:rPr>
        <w:t>...///5.-</w:t>
      </w:r>
    </w:p>
    <w:p>
      <w:pPr>
        <w:pStyle w:val="P2"/>
        <w:ind w:left="709"/>
        <w:jc w:val="both"/>
        <w:rPr>
          <w:sz w:val="24"/>
          <w:szCs w:val="24"/>
        </w:rPr>
      </w:pPr>
      <w:r>
        <w:rPr>
          <w:sz w:val="24"/>
          <w:szCs w:val="24"/>
        </w:rPr>
        <w:t>el actual estado de su trámite, habida cuenta de las contradicciones de los informes técnicos, las dudas acerca de la titularidad actual del emprendimiento, sus posibilidades de financiamiento, la relación entre la solicitante original y los actuales interesados, la falta de cumplimiento de la normativa ambiental, obligatoria a la luz de las disposiciones del art. 33 inc. 5) de la C.O.M., etc.; a pesar de que las reparticiones dependientes del Departamento Ejecutivo y este mismo Cuerpo intentaron en todo momento extremar los recaudos a los fines de acreditar tales extremos;</w:t>
      </w:r>
    </w:p>
    <w:p>
      <w:pPr>
        <w:pStyle w:val="P2"/>
        <w:ind w:left="709"/>
        <w:jc w:val="both"/>
        <w:rPr>
          <w:sz w:val="24"/>
          <w:szCs w:val="24"/>
        </w:rPr>
      </w:pPr>
    </w:p>
    <w:p>
      <w:pPr>
        <w:pStyle w:val="P2"/>
        <w:ind w:left="709"/>
        <w:jc w:val="both"/>
        <w:rPr>
          <w:sz w:val="24"/>
          <w:szCs w:val="24"/>
        </w:rPr>
      </w:pPr>
      <w:r>
        <w:rPr>
          <w:sz w:val="24"/>
          <w:szCs w:val="24"/>
        </w:rPr>
        <w:t>Que no obstante lo expresado, deben ejercerse razonable y prudentemente las atribuciones constitucionales y legales inherentes al principio de la Autonomía Municipal y del Orden Público local;</w:t>
      </w:r>
    </w:p>
    <w:p>
      <w:pPr>
        <w:pStyle w:val="P2"/>
        <w:jc w:val="both"/>
        <w:rPr>
          <w:sz w:val="24"/>
          <w:szCs w:val="24"/>
        </w:rPr>
      </w:pPr>
    </w:p>
    <w:p>
      <w:pPr>
        <w:pStyle w:val="P2"/>
        <w:jc w:val="both"/>
        <w:rPr>
          <w:sz w:val="24"/>
          <w:szCs w:val="24"/>
        </w:rPr>
      </w:pPr>
    </w:p>
    <w:p>
      <w:pPr>
        <w:pStyle w:val="P2"/>
        <w:jc w:val="both"/>
        <w:rPr>
          <w:sz w:val="24"/>
          <w:szCs w:val="24"/>
        </w:rPr>
      </w:pPr>
    </w:p>
    <w:p>
      <w:pPr>
        <w:pStyle w:val="P2"/>
        <w:jc w:val="center"/>
        <w:rPr>
          <w:b w:val="1"/>
          <w:bCs w:val="1"/>
          <w:sz w:val="24"/>
          <w:szCs w:val="24"/>
        </w:rPr>
      </w:pPr>
      <w:r>
        <w:rPr>
          <w:b w:val="1"/>
          <w:bCs w:val="1"/>
          <w:sz w:val="24"/>
          <w:szCs w:val="24"/>
        </w:rPr>
        <w:t xml:space="preserve">EL HONORABLE CONCEJO DELIBERANTE DE LA CIUDAD DE </w:t>
      </w:r>
    </w:p>
    <w:p>
      <w:pPr>
        <w:pStyle w:val="P2"/>
        <w:jc w:val="center"/>
        <w:rPr>
          <w:b w:val="1"/>
          <w:bCs w:val="1"/>
          <w:sz w:val="24"/>
          <w:szCs w:val="24"/>
        </w:rPr>
      </w:pPr>
    </w:p>
    <w:p>
      <w:pPr>
        <w:pStyle w:val="P2"/>
        <w:jc w:val="center"/>
        <w:rPr>
          <w:b w:val="1"/>
          <w:bCs w:val="1"/>
          <w:sz w:val="24"/>
          <w:szCs w:val="24"/>
        </w:rPr>
      </w:pPr>
    </w:p>
    <w:p>
      <w:pPr>
        <w:pStyle w:val="P2"/>
        <w:jc w:val="center"/>
        <w:rPr>
          <w:b w:val="1"/>
          <w:bCs w:val="1"/>
          <w:sz w:val="24"/>
          <w:szCs w:val="24"/>
        </w:rPr>
      </w:pPr>
      <w:r>
        <w:rPr>
          <w:b w:val="1"/>
          <w:bCs w:val="1"/>
          <w:sz w:val="24"/>
          <w:szCs w:val="24"/>
        </w:rPr>
        <w:t>ALTA GRACIA SANCIONA CON FUERZA DE ORDENANZA</w:t>
      </w:r>
    </w:p>
    <w:p>
      <w:pPr>
        <w:pStyle w:val="P2"/>
        <w:jc w:val="both"/>
        <w:rPr>
          <w:sz w:val="24"/>
          <w:szCs w:val="24"/>
        </w:rPr>
      </w:pPr>
    </w:p>
    <w:p>
      <w:pPr>
        <w:pStyle w:val="P2"/>
        <w:jc w:val="both"/>
        <w:rPr>
          <w:sz w:val="24"/>
          <w:szCs w:val="24"/>
        </w:rPr>
      </w:pPr>
    </w:p>
    <w:p>
      <w:pPr>
        <w:pStyle w:val="P2"/>
        <w:ind w:hanging="709" w:left="709"/>
        <w:jc w:val="both"/>
        <w:rPr>
          <w:sz w:val="24"/>
          <w:szCs w:val="24"/>
        </w:rPr>
      </w:pPr>
      <w:r>
        <w:rPr>
          <w:b w:val="1"/>
          <w:bCs w:val="1"/>
          <w:sz w:val="24"/>
          <w:szCs w:val="24"/>
          <w:u w:val="single"/>
        </w:rPr>
        <w:t>Art.1</w:t>
      </w:r>
      <w:r>
        <w:rPr>
          <w:sz w:val="24"/>
          <w:szCs w:val="24"/>
        </w:rPr>
        <w:t xml:space="preserve">: </w:t>
      </w:r>
      <w:r>
        <w:rPr>
          <w:b w:val="1"/>
          <w:bCs w:val="1"/>
          <w:sz w:val="24"/>
          <w:szCs w:val="24"/>
        </w:rPr>
        <w:t xml:space="preserve">RECHAZAR, </w:t>
      </w:r>
      <w:r>
        <w:rPr>
          <w:sz w:val="24"/>
          <w:szCs w:val="24"/>
        </w:rPr>
        <w:t xml:space="preserve">en su actual estado de trámite por incompleto, la solicitud  de Aprobación de Loteo obrante en el Expediente Administrativo Nº 60-I-99 y sus acumulados.</w:t>
      </w:r>
    </w:p>
    <w:p>
      <w:pPr>
        <w:pStyle w:val="P2"/>
        <w:jc w:val="both"/>
        <w:rPr>
          <w:b w:val="1"/>
          <w:bCs w:val="1"/>
          <w:sz w:val="24"/>
          <w:szCs w:val="24"/>
          <w:u w:val="single"/>
        </w:rPr>
      </w:pPr>
    </w:p>
    <w:p>
      <w:pPr>
        <w:pStyle w:val="P2"/>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HACER SABER</w:t>
      </w:r>
      <w:r>
        <w:rPr>
          <w:sz w:val="24"/>
          <w:szCs w:val="24"/>
        </w:rPr>
        <w:t xml:space="preserve"> a la Cooperativa de Vivienda, Consumo y Crédito “Nuevo Amanecer” Ltda. y/o a los Organismos Públicos o Privados que fuesen titulares y/o responsables actuales del emprendimiento de que trata, que podrán si así lo desean, formular nueva presentación al efecto, en un todo de conformidad a las normas urbanísticas de la Ciudad de Alta Gracia.</w:t>
      </w:r>
    </w:p>
    <w:p>
      <w:pPr>
        <w:pStyle w:val="P2"/>
        <w:jc w:val="both"/>
        <w:rPr>
          <w:b w:val="1"/>
          <w:bCs w:val="1"/>
          <w:sz w:val="24"/>
          <w:szCs w:val="24"/>
          <w:u w:val="single"/>
        </w:rPr>
      </w:pPr>
    </w:p>
    <w:p>
      <w:pPr>
        <w:pStyle w:val="P2"/>
        <w:ind w:hanging="709" w:left="709"/>
        <w:jc w:val="both"/>
        <w:rPr>
          <w:sz w:val="24"/>
          <w:szCs w:val="24"/>
        </w:rPr>
      </w:pPr>
      <w:r>
        <w:rPr>
          <w:b w:val="1"/>
          <w:bCs w:val="1"/>
          <w:sz w:val="24"/>
          <w:szCs w:val="24"/>
          <w:u w:val="single"/>
        </w:rPr>
        <w:t>Art.3</w:t>
      </w:r>
      <w:r>
        <w:rPr>
          <w:sz w:val="24"/>
          <w:szCs w:val="24"/>
        </w:rPr>
        <w:t xml:space="preserve">: </w:t>
      </w:r>
      <w:r>
        <w:rPr>
          <w:b w:val="1"/>
          <w:bCs w:val="1"/>
          <w:sz w:val="24"/>
          <w:szCs w:val="24"/>
        </w:rPr>
        <w:t>ESTABLECER</w:t>
      </w:r>
      <w:r>
        <w:rPr>
          <w:sz w:val="24"/>
          <w:szCs w:val="24"/>
        </w:rPr>
        <w:t xml:space="preserve"> como fecha de entrada en vigencia de la presente, la del Decreto  que disponga  su promulgación, </w:t>
      </w:r>
    </w:p>
    <w:p>
      <w:pPr>
        <w:pStyle w:val="P2"/>
        <w:ind w:hanging="709" w:left="709"/>
        <w:jc w:val="right"/>
        <w:rPr>
          <w:sz w:val="24"/>
          <w:szCs w:val="24"/>
        </w:rPr>
      </w:pPr>
      <w:r>
        <w:rPr>
          <w:sz w:val="24"/>
          <w:szCs w:val="24"/>
        </w:rPr>
        <w:t>...///</w:t>
      </w: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p>
    <w:p>
      <w:pPr>
        <w:pStyle w:val="P2"/>
        <w:ind w:hanging="709" w:left="709"/>
        <w:jc w:val="both"/>
        <w:rPr>
          <w:sz w:val="24"/>
          <w:szCs w:val="24"/>
        </w:rPr>
      </w:pPr>
      <w:r>
        <w:rPr>
          <w:sz w:val="24"/>
          <w:szCs w:val="24"/>
        </w:rPr>
        <w:t>...///6.-</w:t>
      </w:r>
    </w:p>
    <w:p>
      <w:pPr>
        <w:pStyle w:val="P2"/>
        <w:ind w:left="709"/>
        <w:jc w:val="both"/>
        <w:rPr>
          <w:sz w:val="24"/>
          <w:szCs w:val="24"/>
        </w:rPr>
      </w:pPr>
    </w:p>
    <w:p>
      <w:pPr>
        <w:pStyle w:val="P2"/>
        <w:ind w:left="709"/>
        <w:jc w:val="both"/>
        <w:rPr>
          <w:sz w:val="24"/>
          <w:szCs w:val="24"/>
        </w:rPr>
      </w:pPr>
      <w:r>
        <w:rPr>
          <w:sz w:val="24"/>
          <w:szCs w:val="24"/>
        </w:rPr>
        <w:t xml:space="preserve">conforme lo establecido por el articulo 24 de la Carta Orgánica Municipal.- </w:t>
      </w:r>
    </w:p>
    <w:p>
      <w:pPr>
        <w:pStyle w:val="P2"/>
        <w:jc w:val="both"/>
        <w:rPr>
          <w:b w:val="1"/>
          <w:bCs w:val="1"/>
          <w:sz w:val="24"/>
          <w:szCs w:val="24"/>
          <w:u w:val="single"/>
        </w:rPr>
      </w:pPr>
    </w:p>
    <w:p>
      <w:pPr>
        <w:pStyle w:val="P2"/>
        <w:ind w:hanging="709" w:left="709"/>
        <w:jc w:val="both"/>
        <w:rPr>
          <w:sz w:val="24"/>
          <w:szCs w:val="24"/>
        </w:rPr>
      </w:pPr>
      <w:r>
        <w:rPr>
          <w:b w:val="1"/>
          <w:bCs w:val="1"/>
          <w:sz w:val="24"/>
          <w:szCs w:val="24"/>
          <w:u w:val="single"/>
        </w:rPr>
        <w:t>Art.5</w:t>
      </w:r>
      <w:r>
        <w:rPr>
          <w:sz w:val="24"/>
          <w:szCs w:val="24"/>
        </w:rPr>
        <w:t xml:space="preserve">: </w:t>
      </w:r>
      <w:r>
        <w:rPr>
          <w:b w:val="1"/>
          <w:bCs w:val="1"/>
          <w:sz w:val="24"/>
          <w:szCs w:val="24"/>
        </w:rPr>
        <w:t>COMUNÍQUESE</w:t>
      </w:r>
      <w:r>
        <w:rPr>
          <w:sz w:val="24"/>
          <w:szCs w:val="24"/>
        </w:rPr>
        <w:t>, publíquese, transcríbase en el Libro de Ordenanzas y archívese.</w:t>
      </w:r>
    </w:p>
    <w:p>
      <w:pPr>
        <w:pStyle w:val="P2"/>
        <w:jc w:val="both"/>
        <w:rPr>
          <w:sz w:val="24"/>
          <w:szCs w:val="24"/>
        </w:rPr>
      </w:pPr>
    </w:p>
    <w:p>
      <w:pPr>
        <w:pStyle w:val="P2"/>
        <w:jc w:val="both"/>
        <w:rPr>
          <w:sz w:val="24"/>
          <w:szCs w:val="24"/>
        </w:rPr>
      </w:pPr>
    </w:p>
    <w:p>
      <w:pPr>
        <w:pStyle w:val="P2"/>
        <w:jc w:val="both"/>
        <w:rPr>
          <w:sz w:val="24"/>
          <w:szCs w:val="24"/>
        </w:rPr>
      </w:pPr>
    </w:p>
    <w:p>
      <w:pPr>
        <w:pStyle w:val="P2"/>
        <w:jc w:val="both"/>
        <w:rPr>
          <w:b w:val="1"/>
          <w:bCs w:val="1"/>
          <w:sz w:val="24"/>
          <w:szCs w:val="24"/>
        </w:rPr>
      </w:pPr>
      <w:r>
        <w:rPr>
          <w:b w:val="1"/>
          <w:bCs w:val="1"/>
          <w:sz w:val="24"/>
          <w:szCs w:val="24"/>
        </w:rPr>
        <w:t>DADA EN LA SALA DE SESIONES DEL HONORABLE CONCEJO DELIBERANTE A LOS TRECE DIAS DEL MES DE MAYO DEL AÑO DOS MIL CUATRO.</w:t>
      </w:r>
    </w:p>
    <w:p>
      <w:pPr>
        <w:pStyle w:val="P2"/>
        <w:jc w:val="both"/>
        <w:rPr>
          <w:sz w:val="24"/>
          <w:szCs w:val="24"/>
        </w:rPr>
      </w:pPr>
    </w:p>
    <w:p>
      <w:pPr>
        <w:pStyle w:val="P2"/>
        <w:jc w:val="both"/>
        <w:rPr>
          <w:sz w:val="24"/>
          <w:szCs w:val="24"/>
        </w:rPr>
      </w:pPr>
    </w:p>
    <w:p>
      <w:pPr>
        <w:pStyle w:val="P2"/>
        <w:jc w:val="both"/>
        <w:rPr>
          <w:sz w:val="24"/>
          <w:szCs w:val="24"/>
        </w:rPr>
      </w:pPr>
    </w:p>
    <w:p>
      <w:pPr>
        <w:pStyle w:val="P2"/>
        <w:jc w:val="both"/>
        <w:rPr>
          <w:sz w:val="24"/>
          <w:szCs w:val="24"/>
        </w:rPr>
      </w:pPr>
    </w:p>
    <w:p>
      <w:pPr>
        <w:pStyle w:val="P2"/>
        <w:jc w:val="both"/>
        <w:rPr>
          <w:sz w:val="24"/>
          <w:szCs w:val="24"/>
        </w:rPr>
      </w:pPr>
    </w:p>
    <w:p>
      <w:pPr>
        <w:pStyle w:val="P2"/>
        <w:jc w:val="both"/>
        <w:rPr>
          <w:sz w:val="24"/>
          <w:szCs w:val="24"/>
        </w:rPr>
      </w:pPr>
    </w:p>
    <w:sectPr>
      <w:type w:val="nextPage"/>
      <w:pgSz w:w="11907" w:h="16840" w:code="0"/>
      <w:pgMar w:left="1701" w:right="1418" w:top="1418" w:bottom="1418" w:header="720" w:footer="720" w:gutter="0"/>
    </w:sectPr>
  </w:body>
</w:document>
</file>

<file path=word/numbering.xml><?xml version="1.0" encoding="utf-8"?>
<w:numbering xmlns:w="http://schemas.openxmlformats.org/wordprocessingml/2006/main">
  <w:abstractNum w:abstractNumId="0">
    <w:nsid w:val="1F4C5E78"/>
    <w:multiLevelType w:val="multilevel"/>
    <w:lvl w:ilvl="0">
      <w:start w:val="1"/>
      <w:numFmt w:val="decimal"/>
      <w:suff w:val="tab"/>
      <w:lvlText w:val="%1)"/>
      <w:lvlJc w:val="left"/>
      <w:pPr>
        <w:ind w:hanging="690" w:left="690"/>
        <w:tabs>
          <w:tab w:val="num" w:pos="69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2D62E66"/>
    <w:multiLevelType w:val="hybridMultilevel"/>
    <w:lvl w:ilvl="0" w:tplc="6767E164">
      <w:start w:val="0"/>
      <w:numFmt w:val="bullet"/>
      <w:suff w:val="tab"/>
      <w:lvlText w:val="-"/>
      <w:lvlJc w:val="left"/>
      <w:pPr>
        <w:ind w:hanging="360" w:left="360"/>
        <w:tabs>
          <w:tab w:val="num"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55B391D"/>
    <w:multiLevelType w:val="hybridMultilevel"/>
    <w:lvl w:ilvl="0" w:tplc="13ED2129">
      <w:start w:val="0"/>
      <w:numFmt w:val="bullet"/>
      <w:suff w:val="tab"/>
      <w:lvlText w:val="-"/>
      <w:lvlJc w:val="left"/>
      <w:pPr>
        <w:ind w:hanging="420" w:left="420"/>
        <w:tabs>
          <w:tab w:val="num" w:pos="42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82587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
  </w:num>
  <w:num w:numId="2">
    <w:abstractNumId w:val="0"/>
  </w:num>
  <w:num w:numId="3">
    <w:abstractNumId w:val="3"/>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Heading 1"/>
    <w:basedOn w:val="P0"/>
    <w:next w:val="P0"/>
    <w:pPr>
      <w:keepNext w:val="1"/>
      <w:spacing w:before="240" w:after="60"/>
      <w:outlineLvl w:val="0"/>
    </w:pPr>
    <w:rPr>
      <w:rFonts w:ascii="Arial" w:hAnsi="Arial"/>
      <w:b w:val="1"/>
      <w:bCs w:val="1"/>
      <w:sz w:val="28"/>
      <w:szCs w:val="28"/>
      <w:kern w:val="28"/>
    </w:rPr>
  </w:style>
  <w:style w:type="paragraph" w:styleId="P2">
    <w:name w:val="Plain Text"/>
    <w:basedOn w:val="P0"/>
    <w:next w:val="P2"/>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Municipalidad de Alta Gracia</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Dirección de Asuntos Jurídico</dc:creator>
  <dcterms:created xsi:type="dcterms:W3CDTF">2026-07-09T19:28:28Z</dcterms:created>
  <cp:lastModifiedBy>Federico Parisi</cp:lastModifiedBy>
  <cp:lastPrinted>2003-04-21T06:55:00Z</cp:lastPrinted>
  <dcterms:modified xsi:type="dcterms:W3CDTF">2026-07-09T19:28:28Z</dcterms:modified>
  <cp:revision>2</cp:revision>
  <dc:title>1¾   «        ˆ              NORMAL</dc:title>
</cp:coreProperties>
</file>