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ind w:firstLine="708" w:left="2832"/>
        <w:rPr>
          <w:sz w:val="24"/>
          <w:szCs w:val="24"/>
        </w:rPr>
      </w:pPr>
      <w:r>
        <w:rPr>
          <w:b w:val="1"/>
          <w:bCs w:val="1"/>
          <w:sz w:val="24"/>
          <w:szCs w:val="24"/>
          <w:u w:val="single"/>
        </w:rPr>
        <w:t xml:space="preserve">ORDENANZA  Nº  6898</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firstLine="709"/>
        <w:jc w:val="both"/>
        <w:rPr>
          <w:sz w:val="24"/>
          <w:szCs w:val="24"/>
        </w:rPr>
      </w:pPr>
      <w:r>
        <w:rPr>
          <w:sz w:val="24"/>
          <w:szCs w:val="24"/>
        </w:rPr>
        <w:t>Visto: El Expediente Nº213/I/03; y</w:t>
      </w:r>
    </w:p>
    <w:p>
      <w:pPr>
        <w:pStyle w:val="P1"/>
        <w:jc w:val="both"/>
        <w:rPr>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r>
        <w:rPr>
          <w:b w:val="1"/>
          <w:bCs w:val="1"/>
          <w:sz w:val="24"/>
          <w:szCs w:val="24"/>
        </w:rPr>
        <w:t>C O N S I D E R A N D O</w:t>
      </w:r>
    </w:p>
    <w:p>
      <w:pPr>
        <w:pStyle w:val="P1"/>
        <w:jc w:val="both"/>
        <w:rPr>
          <w:sz w:val="24"/>
          <w:szCs w:val="24"/>
        </w:rPr>
      </w:pPr>
    </w:p>
    <w:p>
      <w:pPr>
        <w:pStyle w:val="P1"/>
        <w:jc w:val="both"/>
        <w:rPr>
          <w:sz w:val="24"/>
          <w:szCs w:val="24"/>
        </w:rPr>
      </w:pPr>
    </w:p>
    <w:p>
      <w:pPr>
        <w:pStyle w:val="P2"/>
        <w:rPr>
          <w:rFonts w:ascii="Courier New" w:hAnsi="Courier New"/>
        </w:rPr>
      </w:pPr>
    </w:p>
    <w:p>
      <w:pPr>
        <w:pStyle w:val="P2"/>
        <w:rPr>
          <w:rFonts w:ascii="Courier New" w:hAnsi="Courier New"/>
        </w:rPr>
      </w:pPr>
      <w:r>
        <w:rPr>
          <w:rFonts w:ascii="Courier New" w:hAnsi="Courier New"/>
        </w:rPr>
        <w:t>Que el presente expediente es iniciado con nota presentada por la Sra. Ibarra, Teresita del Valle, D.N.I. Nº4.876.741, en el cual la peticionante solicita eximición de Tasa por Servicio a la Propiedad de la designación catastral Nº01-01-388-005-000, correspondiente al inmueble ubicado en calle Gobernador Loza Nº61;</w:t>
      </w:r>
    </w:p>
    <w:p>
      <w:pPr>
        <w:pStyle w:val="P2"/>
        <w:rPr>
          <w:rFonts w:ascii="Courier New" w:hAnsi="Courier New"/>
        </w:rPr>
      </w:pPr>
    </w:p>
    <w:p>
      <w:pPr>
        <w:pStyle w:val="P2"/>
        <w:rPr>
          <w:rFonts w:ascii="Courier New" w:hAnsi="Courier New"/>
        </w:rPr>
      </w:pPr>
      <w:r>
        <w:rPr>
          <w:rFonts w:ascii="Courier New" w:hAnsi="Courier New"/>
        </w:rPr>
        <w:t>Que el estudio socioeconómico realizado obrante a fs.7 revela que se trata de un grupo familiar integrado por la peticionante y sus dos hijos, de donde provienen sus inestables ingresos, resultado de “changas esporádicas”, con lo cual escasamente alcanzan a cubrir sus necesidades básicas diarias, motivo por el cual se solicita una ayuda económica;</w:t>
      </w:r>
    </w:p>
    <w:p>
      <w:pPr>
        <w:pStyle w:val="P2"/>
        <w:ind w:left="0"/>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otorgar el beneficio de la Ordenanza Nº5485 Art.3, despacho aprobado por unanimidad en Sesión Ordinaria de fecha 20 de mayo de 2004.</w:t>
      </w:r>
    </w:p>
    <w:p>
      <w:pPr>
        <w:pStyle w:val="P1"/>
        <w:jc w:val="both"/>
        <w:rPr>
          <w:sz w:val="24"/>
          <w:szCs w:val="24"/>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firstLine="708" w:left="710"/>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ind w:hanging="710" w:left="1418"/>
        <w:jc w:val="both"/>
        <w:rPr>
          <w:sz w:val="24"/>
          <w:szCs w:val="24"/>
        </w:rPr>
      </w:pPr>
      <w:r>
        <w:rPr>
          <w:b w:val="1"/>
          <w:bCs w:val="1"/>
          <w:sz w:val="24"/>
          <w:szCs w:val="24"/>
          <w:u w:val="single"/>
        </w:rPr>
        <w:t>Art.1:</w:t>
      </w:r>
      <w:r>
        <w:rPr>
          <w:sz w:val="24"/>
          <w:szCs w:val="24"/>
        </w:rPr>
        <w:t xml:space="preserve"> </w:t>
      </w:r>
      <w:r>
        <w:rPr>
          <w:b w:val="1"/>
          <w:bCs w:val="1"/>
          <w:sz w:val="24"/>
          <w:szCs w:val="24"/>
        </w:rPr>
        <w:t xml:space="preserve"> OTORGAR </w:t>
      </w:r>
      <w:r>
        <w:rPr>
          <w:sz w:val="24"/>
          <w:szCs w:val="24"/>
        </w:rPr>
        <w:t>el beneficio de la Ordenanza Nº5485 Art.3, a la designación catastral Nº01-01-388-005-000 de propiedad de la Sra. Ibarra, Teresita del Valle, fijándole una cuota mensual en concepto de Tasa por Servicio a la Propiedad de PESOS SEIS ($6.) desde la promulgación de la presente hasta diciembre del año 2005.</w:t>
      </w:r>
    </w:p>
    <w:p>
      <w:pPr>
        <w:pStyle w:val="P1"/>
        <w:ind w:hanging="709" w:left="709"/>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1418"/>
        <w:jc w:val="both"/>
        <w:rPr>
          <w:b w:val="1"/>
          <w:bCs w:val="1"/>
          <w:sz w:val="24"/>
          <w:szCs w:val="24"/>
          <w:u w:val="single"/>
        </w:rPr>
      </w:pPr>
    </w:p>
    <w:p>
      <w:pPr>
        <w:pStyle w:val="P1"/>
        <w:ind w:hanging="709" w:left="1418"/>
        <w:jc w:val="both"/>
        <w:rPr>
          <w:b w:val="1"/>
          <w:bCs w:val="1"/>
          <w:sz w:val="24"/>
          <w:szCs w:val="24"/>
          <w:u w:val="single"/>
        </w:rPr>
      </w:pPr>
    </w:p>
    <w:p>
      <w:pPr>
        <w:pStyle w:val="P1"/>
        <w:ind w:hanging="709" w:left="1418"/>
        <w:jc w:val="both"/>
        <w:rPr>
          <w:sz w:val="24"/>
          <w:szCs w:val="24"/>
        </w:rPr>
      </w:pPr>
      <w:r>
        <w:rPr>
          <w:sz w:val="24"/>
          <w:szCs w:val="24"/>
        </w:rPr>
        <w:t>...///2.-</w:t>
      </w:r>
    </w:p>
    <w:p>
      <w:pPr>
        <w:pStyle w:val="P1"/>
        <w:ind w:hanging="709" w:left="1418"/>
        <w:jc w:val="both"/>
        <w:rPr>
          <w:b w:val="1"/>
          <w:bCs w:val="1"/>
          <w:sz w:val="24"/>
          <w:szCs w:val="24"/>
          <w:u w:val="single"/>
        </w:rPr>
      </w:pPr>
    </w:p>
    <w:p>
      <w:pPr>
        <w:pStyle w:val="P1"/>
        <w:ind w:hanging="709" w:left="1418"/>
        <w:jc w:val="both"/>
        <w:rPr>
          <w:b w:val="1"/>
          <w:bCs w:val="1"/>
          <w:sz w:val="24"/>
          <w:szCs w:val="24"/>
          <w:u w:val="single"/>
        </w:rPr>
      </w:pPr>
    </w:p>
    <w:p>
      <w:pPr>
        <w:pStyle w:val="P1"/>
        <w:ind w:hanging="709" w:left="1418"/>
        <w:jc w:val="both"/>
        <w:rPr>
          <w:b w:val="1"/>
          <w:bCs w:val="1"/>
          <w:sz w:val="24"/>
          <w:szCs w:val="24"/>
          <w:u w:val="single"/>
        </w:rPr>
      </w:pPr>
    </w:p>
    <w:p>
      <w:pPr>
        <w:pStyle w:val="P1"/>
        <w:ind w:hanging="709" w:left="1418"/>
        <w:jc w:val="both"/>
        <w:rPr>
          <w:b w:val="1"/>
          <w:bCs w:val="1"/>
          <w:sz w:val="24"/>
          <w:szCs w:val="24"/>
        </w:rPr>
      </w:pPr>
      <w:r>
        <w:rPr>
          <w:b w:val="1"/>
          <w:bCs w:val="1"/>
          <w:sz w:val="24"/>
          <w:szCs w:val="24"/>
          <w:u w:val="single"/>
        </w:rPr>
        <w:t>Art.2:</w:t>
      </w:r>
      <w:r>
        <w:rPr>
          <w:sz w:val="24"/>
          <w:szCs w:val="24"/>
        </w:rPr>
        <w:t xml:space="preserve"> </w:t>
      </w:r>
      <w:r>
        <w:rPr>
          <w:b w:val="1"/>
          <w:bCs w:val="1"/>
          <w:sz w:val="24"/>
          <w:szCs w:val="24"/>
        </w:rPr>
        <w:t xml:space="preserve">POR </w:t>
      </w:r>
      <w:r>
        <w:rPr>
          <w:sz w:val="24"/>
          <w:szCs w:val="24"/>
        </w:rPr>
        <w:t>cuota abonada en término conforme a lo establecido en el Art.1 de la presente ordenanza, eximir de dos (2) cuotas de la deuda no eximida en el Art.1, que la Sra. Ibarra, Teresita del Valle mantiene con el municipio.</w:t>
      </w:r>
      <w:r>
        <w:rPr>
          <w:b w:val="1"/>
          <w:bCs w:val="1"/>
          <w:sz w:val="24"/>
          <w:szCs w:val="24"/>
        </w:rPr>
        <w:t xml:space="preserve"> </w:t>
      </w:r>
    </w:p>
    <w:p>
      <w:pPr>
        <w:pStyle w:val="P1"/>
        <w:ind w:left="709"/>
        <w:jc w:val="both"/>
        <w:rPr>
          <w:b w:val="1"/>
          <w:bCs w:val="1"/>
          <w:sz w:val="24"/>
          <w:szCs w:val="24"/>
          <w:u w:val="single"/>
        </w:rPr>
      </w:pPr>
    </w:p>
    <w:p>
      <w:pPr>
        <w:pStyle w:val="P1"/>
        <w:ind w:hanging="709" w:left="1418"/>
        <w:jc w:val="both"/>
        <w:rPr>
          <w:sz w:val="24"/>
          <w:szCs w:val="24"/>
        </w:rPr>
      </w:pPr>
      <w:r>
        <w:rPr>
          <w:b w:val="1"/>
          <w:bCs w:val="1"/>
          <w:sz w:val="24"/>
          <w:szCs w:val="24"/>
          <w:u w:val="single"/>
        </w:rPr>
        <w:t>Art.3:</w:t>
      </w:r>
      <w:r>
        <w:rPr>
          <w:sz w:val="24"/>
          <w:szCs w:val="24"/>
        </w:rPr>
        <w:t xml:space="preserve"> </w:t>
      </w:r>
      <w:r>
        <w:rPr>
          <w:b w:val="1"/>
          <w:bCs w:val="1"/>
          <w:sz w:val="24"/>
          <w:szCs w:val="24"/>
        </w:rPr>
        <w:t>EN</w:t>
      </w:r>
      <w:r>
        <w:rPr>
          <w:sz w:val="24"/>
          <w:szCs w:val="24"/>
        </w:rPr>
        <w:t xml:space="preserve"> caso de transferencia del inmueble o cambio en su situación socioeconómica este beneficio caducará automáticamente a partir de la verificación de la transferencia o del cambio.</w:t>
      </w:r>
    </w:p>
    <w:p>
      <w:pPr>
        <w:pStyle w:val="P1"/>
        <w:jc w:val="both"/>
        <w:rPr>
          <w:b w:val="1"/>
          <w:bCs w:val="1"/>
          <w:sz w:val="24"/>
          <w:szCs w:val="24"/>
          <w:u w:val="single"/>
        </w:rPr>
      </w:pPr>
    </w:p>
    <w:p>
      <w:pPr>
        <w:pStyle w:val="P1"/>
        <w:ind w:hanging="709" w:left="1418"/>
        <w:jc w:val="both"/>
        <w:rPr>
          <w:sz w:val="24"/>
          <w:szCs w:val="24"/>
        </w:rPr>
      </w:pPr>
      <w:r>
        <w:rPr>
          <w:b w:val="1"/>
          <w:bCs w:val="1"/>
          <w:sz w:val="24"/>
          <w:szCs w:val="24"/>
          <w:u w:val="single"/>
        </w:rPr>
        <w:t>Art.4:</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right"/>
        <w:rPr>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ind w:left="709"/>
        <w:jc w:val="both"/>
        <w:rPr>
          <w:b w:val="1"/>
          <w:bCs w:val="1"/>
          <w:sz w:val="52"/>
          <w:szCs w:val="52"/>
        </w:rPr>
      </w:pPr>
      <w:r>
        <w:rPr>
          <w:b w:val="1"/>
          <w:bCs w:val="1"/>
          <w:sz w:val="24"/>
          <w:szCs w:val="24"/>
        </w:rPr>
        <w:t>DADA EN LA SALA DE SESIONES DEL HONORABLE CONCEJO DELIBERANTE A VEINTE DIAS DEL MES DE MAYO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2026-07-09T19:29:10Z</dcterms:created>
  <cp:lastModifiedBy>Federico Parisi</cp:lastModifiedBy>
  <cp:lastPrinted>2004-06-11T14:04:00Z</cp:lastPrinted>
  <dcterms:modified xsi:type="dcterms:W3CDTF">2026-07-09T19:29:10Z</dcterms:modified>
  <cp:revision>2</cp:revision>
  <dc:title>1¾   «        M</dc:title>
</cp:coreProperties>
</file>