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6901</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left="709"/>
        <w:jc w:val="both"/>
        <w:rPr>
          <w:sz w:val="24"/>
          <w:szCs w:val="24"/>
        </w:rPr>
      </w:pPr>
      <w:r>
        <w:rPr>
          <w:sz w:val="24"/>
          <w:szCs w:val="24"/>
        </w:rPr>
        <w:t>Visto: El Expediente Nº 36/03; y</w:t>
      </w:r>
    </w:p>
    <w:p>
      <w:pPr>
        <w:pStyle w:val="P1"/>
        <w:ind w:hanging="709" w:left="709"/>
        <w:jc w:val="both"/>
        <w:rPr>
          <w:sz w:val="24"/>
          <w:szCs w:val="24"/>
        </w:rPr>
      </w:pPr>
    </w:p>
    <w:p>
      <w:pPr>
        <w:pStyle w:val="P1"/>
        <w:jc w:val="both"/>
        <w:rPr>
          <w:sz w:val="24"/>
          <w:szCs w:val="24"/>
        </w:rPr>
      </w:pPr>
    </w:p>
    <w:p>
      <w:pPr>
        <w:pStyle w:val="P1"/>
        <w:ind w:left="709"/>
        <w:jc w:val="center"/>
        <w:rPr>
          <w:b w:val="1"/>
          <w:bCs w:val="1"/>
          <w:sz w:val="24"/>
          <w:szCs w:val="24"/>
        </w:rPr>
      </w:pPr>
    </w:p>
    <w:p>
      <w:pPr>
        <w:pStyle w:val="P1"/>
        <w:ind w:left="2832"/>
        <w:rPr>
          <w:b w:val="1"/>
          <w:bCs w:val="1"/>
          <w:sz w:val="24"/>
          <w:szCs w:val="24"/>
        </w:rPr>
      </w:pPr>
      <w:r>
        <w:rPr>
          <w:b w:val="1"/>
          <w:bCs w:val="1"/>
          <w:sz w:val="24"/>
          <w:szCs w:val="24"/>
        </w:rPr>
        <w:t xml:space="preserve">   C O N S I D E R A N D O</w:t>
      </w:r>
    </w:p>
    <w:p>
      <w:pPr>
        <w:pStyle w:val="P1"/>
        <w:jc w:val="center"/>
        <w:rPr>
          <w:sz w:val="24"/>
          <w:szCs w:val="24"/>
        </w:rPr>
      </w:pPr>
    </w:p>
    <w:p>
      <w:pPr>
        <w:pStyle w:val="P1"/>
        <w:jc w:val="both"/>
        <w:rPr>
          <w:sz w:val="24"/>
          <w:szCs w:val="24"/>
        </w:rPr>
      </w:pPr>
    </w:p>
    <w:p>
      <w:pPr>
        <w:pStyle w:val="P2"/>
        <w:ind w:hanging="1"/>
        <w:rPr>
          <w:rFonts w:ascii="Courier New" w:hAnsi="Courier New"/>
        </w:rPr>
      </w:pPr>
    </w:p>
    <w:p>
      <w:pPr>
        <w:pStyle w:val="P2"/>
        <w:ind w:hanging="1"/>
        <w:rPr>
          <w:rFonts w:ascii="Courier New" w:hAnsi="Courier New"/>
        </w:rPr>
      </w:pPr>
      <w:r>
        <w:rPr>
          <w:rFonts w:ascii="Courier New" w:hAnsi="Courier New"/>
        </w:rPr>
        <w:t>Que el presente expediente es iniciado con nota presentada por la Sra. María Luisa Zárate, L.C. Nº7.159.716, en la cual solicita eximición de Tasa por Administración y Servicio de Cementerio y la baja a osario de los cuerpos con identificación Nº3470 y 6690;</w:t>
      </w: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de acuerdo a Resolución Nº 275/03 ha sido eximida la identificación Nº 6690 por la Dirección de Ingresos Públicos en un CIENTO POR CIENTO (100%) de la Tasa por Administración y Servicio de Cementerio, desde el año 2001 hasta el año 2003 inclusive;</w:t>
      </w: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evaluada la situación planteada por la Comisión de Hacienda, la misma emite despacho favorable, siendo el mismo aprobado por unanimidad en sesión ordinaria de fecha 20 de mayo de 2004. </w:t>
      </w:r>
    </w:p>
    <w:p>
      <w:pPr>
        <w:pStyle w:val="P2"/>
        <w:rPr>
          <w:rFonts w:ascii="Courier New" w:hAnsi="Courier New"/>
        </w:rPr>
      </w:pPr>
    </w:p>
    <w:p>
      <w:pPr>
        <w:pStyle w:val="P1"/>
        <w:jc w:val="both"/>
        <w:rPr>
          <w:sz w:val="24"/>
          <w:szCs w:val="24"/>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p>
    <w:p>
      <w:pPr>
        <w:pStyle w:val="P1"/>
        <w:jc w:val="right"/>
        <w:rPr>
          <w:sz w:val="24"/>
          <w:szCs w:val="24"/>
        </w:rPr>
      </w:pPr>
    </w:p>
    <w:p>
      <w:pPr>
        <w:pStyle w:val="P1"/>
        <w:jc w:val="both"/>
        <w:rPr>
          <w:b w:val="1"/>
          <w:bCs w:val="1"/>
          <w:sz w:val="24"/>
          <w:szCs w:val="24"/>
          <w:u w:val="single"/>
        </w:rPr>
      </w:pPr>
    </w:p>
    <w:p>
      <w:pPr>
        <w:pStyle w:val="P1"/>
        <w:ind w:hanging="709" w:left="1560"/>
        <w:jc w:val="right"/>
        <w:rPr>
          <w:sz w:val="24"/>
          <w:szCs w:val="24"/>
        </w:rPr>
      </w:pPr>
      <w:r>
        <w:rPr>
          <w:sz w:val="24"/>
          <w:szCs w:val="24"/>
        </w:rPr>
        <w:t>...///</w:t>
      </w:r>
    </w:p>
    <w:p>
      <w:pPr>
        <w:pStyle w:val="P1"/>
        <w:ind w:hanging="709" w:left="1560"/>
        <w:jc w:val="both"/>
        <w:rPr>
          <w:b w:val="1"/>
          <w:bCs w:val="1"/>
          <w:sz w:val="24"/>
          <w:szCs w:val="24"/>
          <w:u w:val="single"/>
        </w:rPr>
      </w:pPr>
    </w:p>
    <w:p>
      <w:pPr>
        <w:pStyle w:val="P1"/>
        <w:ind w:hanging="709" w:left="1560"/>
        <w:jc w:val="both"/>
        <w:rPr>
          <w:b w:val="1"/>
          <w:bCs w:val="1"/>
          <w:sz w:val="24"/>
          <w:szCs w:val="24"/>
          <w:u w:val="single"/>
        </w:rPr>
      </w:pPr>
    </w:p>
    <w:p>
      <w:pPr>
        <w:pStyle w:val="P1"/>
        <w:ind w:hanging="709" w:left="1560"/>
        <w:jc w:val="both"/>
        <w:rPr>
          <w:b w:val="1"/>
          <w:bCs w:val="1"/>
          <w:sz w:val="24"/>
          <w:szCs w:val="24"/>
          <w:u w:val="single"/>
        </w:rPr>
      </w:pPr>
    </w:p>
    <w:p>
      <w:pPr>
        <w:pStyle w:val="P1"/>
        <w:ind w:hanging="709" w:left="1560"/>
        <w:jc w:val="both"/>
        <w:rPr>
          <w:b w:val="1"/>
          <w:bCs w:val="1"/>
          <w:sz w:val="24"/>
          <w:szCs w:val="24"/>
          <w:u w:val="single"/>
        </w:rPr>
      </w:pPr>
    </w:p>
    <w:p>
      <w:pPr>
        <w:pStyle w:val="P1"/>
        <w:ind w:hanging="709" w:left="1560"/>
        <w:jc w:val="both"/>
        <w:rPr>
          <w:sz w:val="24"/>
          <w:szCs w:val="24"/>
        </w:rPr>
      </w:pPr>
      <w:r>
        <w:rPr>
          <w:sz w:val="24"/>
          <w:szCs w:val="24"/>
        </w:rPr>
        <w:t>...///2.-</w:t>
      </w:r>
    </w:p>
    <w:p>
      <w:pPr>
        <w:pStyle w:val="P1"/>
        <w:ind w:hanging="709" w:left="1560"/>
        <w:jc w:val="both"/>
        <w:rPr>
          <w:sz w:val="24"/>
          <w:szCs w:val="24"/>
        </w:rPr>
      </w:pPr>
    </w:p>
    <w:p>
      <w:pPr>
        <w:pStyle w:val="P1"/>
        <w:ind w:hanging="709" w:left="1560"/>
        <w:jc w:val="both"/>
        <w:rPr>
          <w:sz w:val="24"/>
          <w:szCs w:val="24"/>
        </w:rPr>
      </w:pPr>
    </w:p>
    <w:p>
      <w:pPr>
        <w:pStyle w:val="P1"/>
        <w:ind w:hanging="709" w:left="1560"/>
        <w:jc w:val="both"/>
        <w:rPr>
          <w:b w:val="1"/>
          <w:bCs w:val="1"/>
          <w:sz w:val="24"/>
          <w:szCs w:val="24"/>
          <w:u w:val="single"/>
        </w:rPr>
      </w:pPr>
    </w:p>
    <w:p>
      <w:pPr>
        <w:pStyle w:val="P1"/>
        <w:ind w:hanging="709" w:left="1560"/>
        <w:jc w:val="both"/>
        <w:rPr>
          <w:sz w:val="24"/>
          <w:szCs w:val="24"/>
        </w:rPr>
      </w:pPr>
      <w:r>
        <w:rPr>
          <w:b w:val="1"/>
          <w:bCs w:val="1"/>
          <w:sz w:val="24"/>
          <w:szCs w:val="24"/>
          <w:u w:val="single"/>
        </w:rPr>
        <w:t>Art.1:</w:t>
      </w:r>
      <w:r>
        <w:rPr>
          <w:sz w:val="24"/>
          <w:szCs w:val="24"/>
        </w:rPr>
        <w:t xml:space="preserve"> </w:t>
      </w:r>
      <w:r>
        <w:rPr>
          <w:b w:val="1"/>
          <w:bCs w:val="1"/>
          <w:sz w:val="24"/>
          <w:szCs w:val="24"/>
        </w:rPr>
        <w:t xml:space="preserve">EXIMIR </w:t>
      </w:r>
      <w:r>
        <w:rPr>
          <w:sz w:val="24"/>
          <w:szCs w:val="24"/>
        </w:rPr>
        <w:t xml:space="preserve">en un CIENTO POR CIENTO (100%) la deuda que en concepto de Tasa por Servicio de Administración y Mantenimiento de Cementerio mantiene la Sra. Zárate, María Luisa L.C. Nº 7.159.716 con el municipio, respecto de la identificación Nº 3470, desde la fecha de promulgación de la presente Ordenanza hasta que se cumplimente lo solicitado por la peticionante respecto de la baja a osario de los cuerpos con identificación Nº 3470 y 6690.  </w:t>
      </w:r>
    </w:p>
    <w:p>
      <w:pPr>
        <w:pStyle w:val="P1"/>
        <w:jc w:val="both"/>
        <w:rPr>
          <w:b w:val="1"/>
          <w:bCs w:val="1"/>
          <w:sz w:val="24"/>
          <w:szCs w:val="24"/>
          <w:u w:val="single"/>
        </w:rPr>
      </w:pPr>
    </w:p>
    <w:p>
      <w:pPr>
        <w:pStyle w:val="P1"/>
        <w:jc w:val="both"/>
        <w:rPr>
          <w:b w:val="1"/>
          <w:bCs w:val="1"/>
          <w:sz w:val="24"/>
          <w:szCs w:val="24"/>
          <w:u w:val="single"/>
        </w:rPr>
      </w:pPr>
    </w:p>
    <w:p>
      <w:pPr>
        <w:pStyle w:val="P1"/>
        <w:ind w:hanging="852" w:left="1560"/>
        <w:jc w:val="both"/>
        <w:rPr>
          <w:sz w:val="24"/>
          <w:szCs w:val="24"/>
        </w:rPr>
      </w:pPr>
      <w:r>
        <w:rPr>
          <w:b w:val="1"/>
          <w:bCs w:val="1"/>
          <w:sz w:val="24"/>
          <w:szCs w:val="24"/>
          <w:u w:val="single"/>
        </w:rPr>
        <w:t>Art.2:</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right"/>
        <w:rPr>
          <w:sz w:val="24"/>
          <w:szCs w:val="24"/>
        </w:rPr>
      </w:pPr>
    </w:p>
    <w:p>
      <w:pPr>
        <w:pStyle w:val="P1"/>
        <w:jc w:val="both"/>
        <w:rPr>
          <w:b w:val="1"/>
          <w:bCs w:val="1"/>
          <w:sz w:val="24"/>
          <w:szCs w:val="24"/>
        </w:rPr>
      </w:pPr>
    </w:p>
    <w:p>
      <w:pPr>
        <w:pStyle w:val="P1"/>
        <w:jc w:val="both"/>
        <w:rPr>
          <w:b w:val="1"/>
          <w:bCs w:val="1"/>
          <w:sz w:val="24"/>
          <w:szCs w:val="24"/>
        </w:rPr>
      </w:pPr>
    </w:p>
    <w:p>
      <w:pPr>
        <w:pStyle w:val="P1"/>
        <w:jc w:val="both"/>
        <w:rPr>
          <w:b w:val="1"/>
          <w:bCs w:val="1"/>
          <w:sz w:val="24"/>
          <w:szCs w:val="24"/>
        </w:rPr>
      </w:pPr>
    </w:p>
    <w:p>
      <w:pPr>
        <w:pStyle w:val="P1"/>
        <w:jc w:val="both"/>
        <w:rPr>
          <w:b w:val="1"/>
          <w:bCs w:val="1"/>
          <w:sz w:val="24"/>
          <w:szCs w:val="24"/>
        </w:rPr>
      </w:pPr>
    </w:p>
    <w:p>
      <w:pPr>
        <w:pStyle w:val="P1"/>
        <w:ind w:left="709"/>
        <w:jc w:val="both"/>
        <w:rPr>
          <w:b w:val="1"/>
          <w:bCs w:val="1"/>
          <w:sz w:val="52"/>
          <w:szCs w:val="52"/>
        </w:rPr>
      </w:pPr>
      <w:r>
        <w:rPr>
          <w:b w:val="1"/>
          <w:bCs w:val="1"/>
          <w:sz w:val="24"/>
          <w:szCs w:val="24"/>
        </w:rPr>
        <w:t>DADA EN LA SALA DE SESIONES DEL HONORABLE CONCEJO DELIBERANTE A VEINTE DIAS DEL MES DE MAYO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doNotBreakConstrainedForcedTable/>
    <w:doNotBreakWrappedTables/>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2026-07-09T19:29:30Z</dcterms:created>
  <cp:lastModifiedBy>Federico Parisi</cp:lastModifiedBy>
  <cp:lastPrinted>2004-06-11T13:22:00Z</cp:lastPrinted>
  <dcterms:modified xsi:type="dcterms:W3CDTF">2026-07-09T19:29:30Z</dcterms:modified>
  <cp:revision>2</cp:revision>
  <dc:title>1¾   «        M</dc:title>
</cp:coreProperties>
</file>