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 6902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 764/02 iniciado con nota del Sr. Eduardo Amuchástegui, D.N.I. Nº6.421.491; y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C O N S I D E R A N D O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2"/>
        <w:rPr>
          <w:rFonts w:ascii="Courier New" w:hAnsi="Courier New"/>
        </w:rPr>
      </w:pPr>
    </w:p>
    <w:p>
      <w:pPr>
        <w:pStyle w:val="P2"/>
        <w:rPr>
          <w:rFonts w:ascii="Courier New" w:hAnsi="Courier New"/>
        </w:rPr>
      </w:pP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Que el peticionante solicita eximición de Tasa por Servicio a la Propiedad de la designación catastral Nº01-01-155-031-000;</w:t>
      </w:r>
    </w:p>
    <w:p>
      <w:pPr>
        <w:pStyle w:val="P2"/>
        <w:rPr>
          <w:rFonts w:ascii="Courier New" w:hAnsi="Courier New"/>
        </w:rPr>
      </w:pP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Que el estudio socioeconómico realizado obrante a fs.16 revela que se trata de una familia numerosa, dedicándose el Sr. Amuchástegui, Eduardo y su hijo a realizar changas de fumigaciones, lo cual sólo genera ingresos ínfimos;</w:t>
      </w:r>
    </w:p>
    <w:p>
      <w:pPr>
        <w:pStyle w:val="P2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según consta en la Declaración Jurada obrante a fs. 10 del expediente, el peticionante no percibe ingreso alguno, presentando además problemas de hipertensión arterial, motivo por el cual necesita ser medicado de por vida;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evaluada la situación planteada por la Comisión de Hacienda, la misma emite despacho accediendo a otorgar el beneficio de la Ordenanza Nº5485 Art.3, el cual es aprobado por unanimidad en sesión ordinaria de fecha 20 de mayo de 2004.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 ALTA GRACIA SANCIONA CON FUERZA DE ORDENANZA</w:t>
      </w:r>
    </w:p>
    <w:p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 OTORGAR </w:t>
      </w:r>
      <w:r>
        <w:rPr>
          <w:sz w:val="24"/>
          <w:szCs w:val="24"/>
        </w:rPr>
        <w:t>el beneficio de la Ordenanza 5485 Art.3, a la designación catastral Nº01-01-155-031-000, fijándole una cuota mensual en concepto de Tasa por servicio a la Propiedad de PESOS TRES ($3.-) desde la promulgación de la presente hasta diciembre del año 2005.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POR </w:t>
      </w:r>
      <w:r>
        <w:rPr>
          <w:sz w:val="24"/>
          <w:szCs w:val="24"/>
        </w:rPr>
        <w:t>cuota abonada en término conforme a lo establecido en el Art.1 de la presente Ordenanza, eximir de dos (2) cuotas de la deuda no eximida en el Art.1, en forma correlativa.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EN </w:t>
      </w:r>
      <w:r>
        <w:rPr>
          <w:sz w:val="24"/>
          <w:szCs w:val="24"/>
        </w:rPr>
        <w:t>caso de cambio en su situación socioeconómica, o de transferencia del inmueble en cuestión, este beneficio caducará automáticamente a partir de la verificación del cambio o de la transferencia del mismo.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Art.4: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VEINTE DIAS DEL MES DE MAYO DEL AÑO DOS MIL CUATRO.</w:t>
      </w:r>
    </w:p>
    <w:sectPr>
      <w:type w:val="nextPage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2026-07-09T19:29:39Z</dcterms:created>
  <cp:lastModifiedBy>Federico Parisi</cp:lastModifiedBy>
  <cp:lastPrinted>2004-06-01T16:48:00Z</cp:lastPrinted>
  <dcterms:modified xsi:type="dcterms:W3CDTF">2026-07-09T19:29:39Z</dcterms:modified>
  <cp:revision>2</cp:revision>
  <dc:title>1¾   «        M</dc:title>
</cp:coreProperties>
</file>