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4"/>
        <w:jc w:val="center"/>
        <w:rPr>
          <w:rFonts w:ascii="Courier New" w:hAnsi="Courier New"/>
          <w:b w:val="1"/>
          <w:bCs w:val="1"/>
          <w:u w:val="single"/>
        </w:rPr>
      </w:pPr>
    </w:p>
    <w:p>
      <w:pPr>
        <w:pStyle w:val="P4"/>
        <w:jc w:val="center"/>
        <w:rPr>
          <w:rFonts w:ascii="Courier New" w:hAnsi="Courier New"/>
          <w:b w:val="1"/>
          <w:bCs w:val="1"/>
          <w:u w:val="single"/>
        </w:rPr>
      </w:pPr>
    </w:p>
    <w:p>
      <w:pPr>
        <w:pStyle w:val="P4"/>
        <w:jc w:val="center"/>
        <w:rPr>
          <w:rFonts w:ascii="Courier New" w:hAnsi="Courier New"/>
          <w:b w:val="1"/>
          <w:bCs w:val="1"/>
          <w:u w:val="single"/>
        </w:rPr>
      </w:pPr>
    </w:p>
    <w:p>
      <w:pPr>
        <w:pStyle w:val="P4"/>
        <w:jc w:val="center"/>
        <w:rPr>
          <w:rFonts w:ascii="Courier New" w:hAnsi="Courier New"/>
          <w:b w:val="1"/>
          <w:bCs w:val="1"/>
          <w:u w:val="single"/>
        </w:rPr>
      </w:pPr>
    </w:p>
    <w:p>
      <w:pPr>
        <w:pStyle w:val="P4"/>
        <w:jc w:val="center"/>
        <w:rPr>
          <w:rFonts w:ascii="Courier New" w:hAnsi="Courier New"/>
          <w:b w:val="1"/>
          <w:bCs w:val="1"/>
          <w:u w:val="single"/>
        </w:rPr>
      </w:pPr>
      <w:r>
        <w:rPr>
          <w:rFonts w:ascii="Courier New" w:hAnsi="Courier New"/>
          <w:b w:val="1"/>
          <w:bCs w:val="1"/>
          <w:u w:val="single"/>
        </w:rPr>
        <w:t xml:space="preserve">ORDENANZA  N°  6909</w:t>
      </w:r>
    </w:p>
    <w:p>
      <w:pPr>
        <w:pStyle w:val="P7"/>
        <w:rPr>
          <w:rFonts w:ascii="Courier New" w:hAnsi="Courier New"/>
          <w:sz w:val="24"/>
          <w:szCs w:val="24"/>
        </w:rPr>
      </w:pPr>
    </w:p>
    <w:p>
      <w:pPr>
        <w:rPr>
          <w:rFonts w:ascii="Courier New" w:hAnsi="Courier New"/>
          <w:sz w:val="24"/>
          <w:szCs w:val="24"/>
        </w:rPr>
      </w:pPr>
    </w:p>
    <w:p>
      <w:pPr>
        <w:pStyle w:val="P3"/>
      </w:pPr>
    </w:p>
    <w:p>
      <w:pPr>
        <w:pStyle w:val="P3"/>
        <w:ind w:hanging="567" w:left="567"/>
      </w:pPr>
      <w:r>
        <w:t>Visto: El Expediente Nº1656/03; y</w:t>
      </w:r>
    </w:p>
    <w:p>
      <w:pPr>
        <w:rPr>
          <w:rFonts w:ascii="Courier New" w:hAnsi="Courier New"/>
          <w:sz w:val="24"/>
          <w:szCs w:val="24"/>
        </w:rPr>
      </w:pPr>
    </w:p>
    <w:p>
      <w:pPr>
        <w:rPr>
          <w:rFonts w:ascii="Courier New" w:hAnsi="Courier New"/>
          <w:sz w:val="24"/>
          <w:szCs w:val="24"/>
        </w:rPr>
      </w:pPr>
    </w:p>
    <w:p>
      <w:pPr>
        <w:ind w:left="709"/>
        <w:rPr>
          <w:rFonts w:ascii="Courier New" w:hAnsi="Courier New"/>
          <w:sz w:val="24"/>
          <w:szCs w:val="24"/>
        </w:rPr>
      </w:pPr>
    </w:p>
    <w:p>
      <w:pPr>
        <w:pStyle w:val="P1"/>
        <w:ind w:left="709"/>
        <w:rPr>
          <w:rFonts w:ascii="Courier New" w:hAnsi="Courier New"/>
        </w:rPr>
      </w:pPr>
      <w:r>
        <w:rPr>
          <w:rFonts w:ascii="Courier New" w:hAnsi="Courier New"/>
        </w:rPr>
        <w:t>C O N S I D E R A N D O</w:t>
      </w:r>
    </w:p>
    <w:p/>
    <w:p>
      <w:r>
        <w:tab/>
        <w:tab/>
      </w:r>
    </w:p>
    <w:p>
      <w:pPr>
        <w:pStyle w:val="P9"/>
        <w:ind w:left="426"/>
        <w:jc w:val="both"/>
      </w:pPr>
    </w:p>
    <w:p>
      <w:pPr>
        <w:pStyle w:val="P9"/>
        <w:ind w:left="426"/>
        <w:jc w:val="both"/>
      </w:pPr>
      <w:r>
        <w:t>Que el mencionado expediente es iniciado con nota presentada por el Sr. Alejandro Sosa, D.N.I. Nº21.580.051, en representación de los vecinos de calle Catamarca y Viena, en la que solicitan la eximición de los derechos municipales por el uso de la vía pública para la realización de la red de gas natural por las calles Catamarca y Viena;</w:t>
      </w:r>
    </w:p>
    <w:p>
      <w:pPr>
        <w:pStyle w:val="P9"/>
      </w:pPr>
    </w:p>
    <w:p>
      <w:pPr>
        <w:pStyle w:val="P5"/>
        <w:ind w:left="426"/>
        <w:rPr>
          <w:rFonts w:ascii="Courier New" w:hAnsi="Courier New"/>
          <w:b w:val="1"/>
          <w:bCs w:val="1"/>
        </w:rPr>
      </w:pPr>
      <w:r>
        <w:rPr>
          <w:rFonts w:ascii="Courier New" w:hAnsi="Courier New"/>
          <w:b w:val="0"/>
          <w:bCs w:val="0"/>
        </w:rPr>
        <w:t>Que la obra de gas será costeada por los vecinos frentistas;</w:t>
      </w:r>
    </w:p>
    <w:p>
      <w:pPr>
        <w:pStyle w:val="P5"/>
        <w:ind w:left="426"/>
        <w:rPr>
          <w:rFonts w:ascii="Courier New" w:hAnsi="Courier New"/>
          <w:b w:val="1"/>
          <w:bCs w:val="1"/>
        </w:rPr>
      </w:pPr>
    </w:p>
    <w:p>
      <w:pPr>
        <w:pStyle w:val="P5"/>
        <w:ind w:left="426"/>
        <w:rPr>
          <w:rFonts w:ascii="Courier New" w:hAnsi="Courier New"/>
          <w:b w:val="1"/>
          <w:bCs w:val="1"/>
        </w:rPr>
      </w:pPr>
      <w:r>
        <w:rPr>
          <w:rFonts w:ascii="Courier New" w:hAnsi="Courier New"/>
          <w:b w:val="0"/>
          <w:bCs w:val="0"/>
        </w:rPr>
        <w:t>Que existe el compromiso de dejar en condiciones los espacios públicos afectados por la obra de gas;</w:t>
      </w:r>
    </w:p>
    <w:p>
      <w:pPr>
        <w:pStyle w:val="P5"/>
        <w:ind w:left="426"/>
        <w:rPr>
          <w:rFonts w:ascii="Courier New" w:hAnsi="Courier New"/>
          <w:b w:val="1"/>
          <w:bCs w:val="1"/>
        </w:rPr>
      </w:pPr>
    </w:p>
    <w:p>
      <w:pPr>
        <w:pStyle w:val="P5"/>
        <w:ind w:left="426"/>
        <w:rPr>
          <w:rFonts w:ascii="Courier New" w:hAnsi="Courier New"/>
          <w:b w:val="1"/>
          <w:bCs w:val="1"/>
        </w:rPr>
      </w:pPr>
      <w:r>
        <w:rPr>
          <w:rFonts w:ascii="Courier New" w:hAnsi="Courier New"/>
          <w:b w:val="0"/>
          <w:bCs w:val="0"/>
        </w:rPr>
        <w:t>Que cuentan con la autorización para la ejecución de la obra de referencia tanto por parte del Secretario de Obras Públicas de la gestión municipal anterior como así también por parte del Honorable Concejo Deliberante a través de la Ordenanza 6878;</w:t>
      </w:r>
    </w:p>
    <w:p>
      <w:pPr>
        <w:pStyle w:val="P5"/>
        <w:ind w:left="426"/>
        <w:rPr>
          <w:rFonts w:ascii="Courier New" w:hAnsi="Courier New"/>
          <w:b w:val="1"/>
          <w:bCs w:val="1"/>
        </w:rPr>
      </w:pPr>
    </w:p>
    <w:p>
      <w:pPr>
        <w:pStyle w:val="P5"/>
        <w:ind w:left="426"/>
        <w:rPr>
          <w:rFonts w:ascii="Courier New" w:hAnsi="Courier New"/>
          <w:b w:val="1"/>
          <w:bCs w:val="1"/>
        </w:rPr>
      </w:pPr>
      <w:r>
        <w:rPr>
          <w:rFonts w:ascii="Courier New" w:hAnsi="Courier New"/>
          <w:b w:val="0"/>
          <w:bCs w:val="0"/>
        </w:rPr>
        <w:t>Que evaluado el contenido del Expediente por Comisión de Hacienda, la misma emite despacho accediendo a lo solicitado, despacho aprobado por unanimidad en sesión ordinaria de fecha 03 de junio de 2004.</w:t>
      </w:r>
    </w:p>
    <w:p>
      <w:pPr>
        <w:pStyle w:val="P5"/>
        <w:ind w:left="426"/>
        <w:rPr>
          <w:rFonts w:ascii="Courier New" w:hAnsi="Courier New"/>
          <w:b w:val="1"/>
          <w:bCs w:val="1"/>
        </w:rPr>
      </w:pPr>
    </w:p>
    <w:p>
      <w:pPr>
        <w:pStyle w:val="P5"/>
        <w:ind w:left="426"/>
        <w:rPr>
          <w:rFonts w:ascii="Courier New" w:hAnsi="Courier New"/>
          <w:b w:val="1"/>
          <w:bCs w:val="1"/>
        </w:rPr>
      </w:pPr>
    </w:p>
    <w:p>
      <w:pPr>
        <w:ind w:left="709"/>
        <w:jc w:val="both"/>
        <w:rPr>
          <w:rFonts w:ascii="Courier New" w:hAnsi="Courier New"/>
          <w:sz w:val="24"/>
          <w:szCs w:val="24"/>
        </w:rPr>
      </w:pPr>
    </w:p>
    <w:p>
      <w:pPr>
        <w:pStyle w:val="P6"/>
        <w:ind w:firstLine="708" w:left="708"/>
        <w:jc w:val="left"/>
        <w:rPr>
          <w:rFonts w:ascii="Courier New" w:hAnsi="Courier New"/>
          <w:b w:val="1"/>
          <w:bCs w:val="1"/>
        </w:rPr>
      </w:pPr>
      <w:r>
        <w:rPr>
          <w:rFonts w:ascii="Courier New" w:hAnsi="Courier New"/>
          <w:b w:val="1"/>
          <w:bCs w:val="1"/>
        </w:rPr>
        <w:t xml:space="preserve">EL HONORABLE CONCEJO DELIBERANTE DE LA CIUDAD DE </w:t>
      </w:r>
    </w:p>
    <w:p>
      <w:pPr>
        <w:pStyle w:val="P6"/>
        <w:ind w:left="709"/>
        <w:rPr>
          <w:rFonts w:ascii="Courier New" w:hAnsi="Courier New"/>
          <w:b w:val="1"/>
          <w:bCs w:val="1"/>
        </w:rPr>
      </w:pPr>
    </w:p>
    <w:p>
      <w:pPr>
        <w:pStyle w:val="P6"/>
        <w:ind w:left="709"/>
        <w:rPr>
          <w:rFonts w:ascii="Courier New" w:hAnsi="Courier New"/>
          <w:b w:val="1"/>
          <w:bCs w:val="1"/>
        </w:rPr>
      </w:pPr>
    </w:p>
    <w:p>
      <w:pPr>
        <w:pStyle w:val="P6"/>
        <w:ind w:left="709"/>
        <w:rPr>
          <w:rFonts w:ascii="Courier New" w:hAnsi="Courier New"/>
          <w:b w:val="1"/>
          <w:bCs w:val="1"/>
        </w:rPr>
      </w:pPr>
      <w:r>
        <w:rPr>
          <w:rFonts w:ascii="Courier New" w:hAnsi="Courier New"/>
          <w:b w:val="1"/>
          <w:bCs w:val="1"/>
        </w:rPr>
        <w:t>ALTA GRACIA SANCIONA CON FUERZA DE ORDENANZA</w:t>
      </w:r>
    </w:p>
    <w:p>
      <w:pPr>
        <w:jc w:val="both"/>
        <w:rPr>
          <w:rFonts w:ascii="Courier New" w:hAnsi="Courier New"/>
          <w:sz w:val="24"/>
          <w:szCs w:val="24"/>
        </w:rPr>
      </w:pPr>
    </w:p>
    <w:p>
      <w:pPr>
        <w:jc w:val="right"/>
        <w:rPr>
          <w:rFonts w:ascii="Courier New" w:hAnsi="Courier New"/>
          <w:sz w:val="24"/>
          <w:szCs w:val="24"/>
        </w:rPr>
      </w:pPr>
      <w:r>
        <w:rPr>
          <w:rFonts w:ascii="Courier New" w:hAnsi="Courier New"/>
          <w:sz w:val="24"/>
          <w:szCs w:val="24"/>
        </w:rPr>
        <w:t>...///</w:t>
      </w:r>
    </w:p>
    <w:p>
      <w:pPr>
        <w:pStyle w:val="P4"/>
        <w:ind w:hanging="709" w:left="709"/>
        <w:jc w:val="both"/>
        <w:rPr>
          <w:rFonts w:ascii="Courier New" w:hAnsi="Courier New"/>
          <w:b w:val="1"/>
          <w:bCs w:val="1"/>
          <w:u w:val="single"/>
        </w:rPr>
      </w:pPr>
    </w:p>
    <w:p>
      <w:pPr>
        <w:pStyle w:val="P4"/>
        <w:ind w:hanging="709" w:left="709"/>
        <w:jc w:val="both"/>
        <w:rPr>
          <w:rFonts w:ascii="Courier New" w:hAnsi="Courier New"/>
          <w:b w:val="1"/>
          <w:bCs w:val="1"/>
          <w:u w:val="single"/>
        </w:rPr>
      </w:pPr>
    </w:p>
    <w:p>
      <w:pPr>
        <w:pStyle w:val="P4"/>
        <w:ind w:hanging="709" w:left="709"/>
        <w:jc w:val="both"/>
        <w:rPr>
          <w:rFonts w:ascii="Courier New" w:hAnsi="Courier New"/>
          <w:b w:val="1"/>
          <w:bCs w:val="1"/>
          <w:u w:val="single"/>
        </w:rPr>
      </w:pPr>
    </w:p>
    <w:p>
      <w:pPr>
        <w:pStyle w:val="P4"/>
        <w:ind w:hanging="709" w:left="709"/>
        <w:jc w:val="both"/>
        <w:rPr>
          <w:rFonts w:ascii="Courier New" w:hAnsi="Courier New"/>
          <w:b w:val="1"/>
          <w:bCs w:val="1"/>
          <w:u w:val="single"/>
        </w:rPr>
      </w:pPr>
    </w:p>
    <w:p>
      <w:pPr>
        <w:pStyle w:val="P4"/>
        <w:ind w:hanging="709" w:left="709"/>
        <w:jc w:val="both"/>
        <w:rPr>
          <w:rFonts w:ascii="Courier New" w:hAnsi="Courier New"/>
          <w:b w:val="1"/>
          <w:bCs w:val="1"/>
          <w:u w:val="single"/>
        </w:rPr>
      </w:pPr>
    </w:p>
    <w:p>
      <w:pPr>
        <w:pStyle w:val="P4"/>
        <w:ind w:hanging="709" w:left="709"/>
        <w:jc w:val="both"/>
        <w:rPr>
          <w:rFonts w:ascii="Courier New" w:hAnsi="Courier New"/>
          <w:b w:val="1"/>
          <w:bCs w:val="1"/>
          <w:u w:val="single"/>
        </w:rPr>
      </w:pPr>
    </w:p>
    <w:p>
      <w:pPr>
        <w:pStyle w:val="P4"/>
        <w:ind w:hanging="709" w:left="709"/>
        <w:jc w:val="both"/>
        <w:rPr>
          <w:rFonts w:ascii="Courier New" w:hAnsi="Courier New"/>
          <w:b w:val="1"/>
          <w:bCs w:val="1"/>
          <w:u w:val="single"/>
        </w:rPr>
      </w:pPr>
    </w:p>
    <w:p>
      <w:pPr>
        <w:pStyle w:val="P4"/>
        <w:ind w:hanging="709" w:left="709"/>
        <w:jc w:val="both"/>
        <w:rPr>
          <w:rFonts w:ascii="Courier New" w:hAnsi="Courier New"/>
        </w:rPr>
      </w:pPr>
      <w:r>
        <w:rPr>
          <w:rFonts w:ascii="Courier New" w:hAnsi="Courier New"/>
        </w:rPr>
        <w:t>...///2.-</w:t>
      </w:r>
    </w:p>
    <w:p>
      <w:pPr>
        <w:pStyle w:val="P4"/>
        <w:ind w:hanging="709" w:left="709"/>
        <w:jc w:val="both"/>
        <w:rPr>
          <w:rFonts w:ascii="Courier New" w:hAnsi="Courier New"/>
          <w:b w:val="1"/>
          <w:bCs w:val="1"/>
          <w:u w:val="single"/>
        </w:rPr>
      </w:pPr>
    </w:p>
    <w:p>
      <w:pPr>
        <w:pStyle w:val="P4"/>
        <w:ind w:hanging="709" w:left="709"/>
        <w:jc w:val="both"/>
        <w:rPr>
          <w:rFonts w:ascii="Courier New" w:hAnsi="Courier New"/>
          <w:b w:val="1"/>
          <w:bCs w:val="1"/>
          <w:u w:val="single"/>
        </w:rPr>
      </w:pPr>
    </w:p>
    <w:p>
      <w:pPr>
        <w:pStyle w:val="P4"/>
        <w:ind w:hanging="709" w:left="709"/>
        <w:jc w:val="both"/>
        <w:rPr>
          <w:rFonts w:ascii="Courier New" w:hAnsi="Courier New"/>
          <w:b w:val="1"/>
          <w:bCs w:val="1"/>
          <w:u w:val="single"/>
        </w:rPr>
      </w:pPr>
    </w:p>
    <w:p>
      <w:pPr>
        <w:pStyle w:val="P4"/>
        <w:ind w:hanging="709" w:left="709"/>
        <w:jc w:val="both"/>
        <w:rPr>
          <w:rFonts w:ascii="Courier New" w:hAnsi="Courier New"/>
        </w:rPr>
      </w:pPr>
      <w:r>
        <w:rPr>
          <w:rFonts w:ascii="Courier New" w:hAnsi="Courier New"/>
          <w:b w:val="1"/>
          <w:bCs w:val="1"/>
          <w:u w:val="single"/>
        </w:rPr>
        <w:t>Art. 1</w:t>
      </w:r>
      <w:r>
        <w:rPr>
          <w:rFonts w:ascii="Courier New" w:hAnsi="Courier New"/>
          <w:b w:val="1"/>
          <w:bCs w:val="1"/>
        </w:rPr>
        <w:t>: OTORGAR</w:t>
      </w:r>
      <w:r>
        <w:rPr>
          <w:rFonts w:ascii="Courier New" w:hAnsi="Courier New"/>
        </w:rPr>
        <w:t xml:space="preserve"> el beneficio de la eximición de los derechos municipales por el uso de la vía pública para la realización de la red de gas natural, a los vecinos de las calles Catamarca y Viena.</w:t>
      </w:r>
    </w:p>
    <w:p>
      <w:pPr>
        <w:jc w:val="both"/>
        <w:rPr>
          <w:rFonts w:ascii="Courier New" w:hAnsi="Courier New"/>
          <w:sz w:val="24"/>
          <w:szCs w:val="24"/>
        </w:rPr>
      </w:pPr>
      <w:r>
        <w:rPr>
          <w:rFonts w:ascii="Courier New" w:hAnsi="Courier New"/>
          <w:sz w:val="24"/>
          <w:szCs w:val="24"/>
        </w:rPr>
        <w:t xml:space="preserve">                                                         </w:t>
      </w:r>
    </w:p>
    <w:p>
      <w:pPr>
        <w:ind w:hanging="709" w:left="709"/>
        <w:jc w:val="both"/>
        <w:rPr>
          <w:rFonts w:ascii="Courier New" w:hAnsi="Courier New"/>
          <w:sz w:val="24"/>
          <w:szCs w:val="24"/>
        </w:rPr>
      </w:pPr>
      <w:r>
        <w:rPr>
          <w:rFonts w:ascii="Courier New" w:hAnsi="Courier New"/>
          <w:b w:val="1"/>
          <w:bCs w:val="1"/>
          <w:sz w:val="24"/>
          <w:szCs w:val="24"/>
          <w:u w:val="single"/>
        </w:rPr>
        <w:t>Art. 2:</w:t>
      </w:r>
      <w:r>
        <w:t xml:space="preserve"> </w:t>
      </w:r>
      <w:r>
        <w:rPr>
          <w:rFonts w:ascii="Courier New" w:hAnsi="Courier New"/>
          <w:b w:val="1"/>
          <w:bCs w:val="1"/>
          <w:sz w:val="24"/>
          <w:szCs w:val="24"/>
        </w:rPr>
        <w:t>COMUNÍQUESE,</w:t>
      </w:r>
      <w:r>
        <w:rPr>
          <w:rFonts w:ascii="Courier New" w:hAnsi="Courier New"/>
          <w:sz w:val="24"/>
          <w:szCs w:val="24"/>
        </w:rPr>
        <w:t xml:space="preserve"> publíquese, transcríbase al Libro de Ordenanzas y archívese.</w:t>
      </w:r>
    </w:p>
    <w:p>
      <w:pPr>
        <w:pStyle w:val="P4"/>
        <w:rPr>
          <w:rFonts w:ascii="Courier New" w:hAnsi="Courier New"/>
        </w:rPr>
      </w:pPr>
    </w:p>
    <w:p>
      <w:pPr>
        <w:pStyle w:val="P4"/>
        <w:rPr>
          <w:rFonts w:ascii="Courier New" w:hAnsi="Courier New"/>
        </w:rPr>
      </w:pPr>
    </w:p>
    <w:p>
      <w:pPr>
        <w:pStyle w:val="P4"/>
        <w:rPr>
          <w:rFonts w:ascii="Courier New" w:hAnsi="Courier New"/>
        </w:rPr>
      </w:pPr>
    </w:p>
    <w:p>
      <w:pPr>
        <w:pStyle w:val="P2"/>
      </w:pPr>
      <w:r>
        <w:rPr>
          <w:rFonts w:ascii="Courier New" w:hAnsi="Courier New"/>
        </w:rPr>
        <w:t>DADA EN LA SALA DE SESIONES DEL HONORABLE CONCEJO DELIBERANTE A LOS TRES DIAS DEL MES DE JUNIO DEL AÑO DOS MIL CUATRO.</w:t>
      </w:r>
    </w:p>
    <w:sectPr>
      <w:type w:val="nextPage"/>
      <w:pgSz w:w="11906" w:h="16838" w:code="0"/>
      <w:pgMar w:left="1474" w:right="1304"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Heading 1"/>
    <w:basedOn w:val="P0"/>
    <w:next w:val="P0"/>
    <w:pPr>
      <w:keepNext w:val="1"/>
      <w:jc w:val="center"/>
      <w:outlineLvl w:val="0"/>
    </w:pPr>
    <w:rPr>
      <w:b w:val="1"/>
      <w:bCs w:val="1"/>
      <w:sz w:val="24"/>
      <w:szCs w:val="24"/>
    </w:rPr>
  </w:style>
  <w:style w:type="paragraph" w:styleId="P2">
    <w:name w:val="Heading 2"/>
    <w:basedOn w:val="P0"/>
    <w:next w:val="P0"/>
    <w:pPr>
      <w:keepNext w:val="1"/>
      <w:outlineLvl w:val="1"/>
    </w:pPr>
    <w:rPr>
      <w:b w:val="1"/>
      <w:bCs w:val="1"/>
      <w:sz w:val="24"/>
      <w:szCs w:val="24"/>
    </w:rPr>
  </w:style>
  <w:style w:type="paragraph" w:styleId="P3">
    <w:name w:val="Heading 3"/>
    <w:basedOn w:val="P0"/>
    <w:next w:val="P0"/>
    <w:pPr>
      <w:keepNext w:val="1"/>
      <w:outlineLvl w:val="2"/>
    </w:pPr>
    <w:rPr>
      <w:rFonts w:ascii="Courier New" w:hAnsi="Courier New"/>
      <w:sz w:val="24"/>
      <w:szCs w:val="24"/>
    </w:rPr>
  </w:style>
  <w:style w:type="paragraph" w:styleId="P4">
    <w:name w:val="Body Text"/>
    <w:basedOn w:val="P0"/>
    <w:next w:val="P4"/>
    <w:pPr/>
    <w:rPr>
      <w:sz w:val="24"/>
      <w:szCs w:val="24"/>
    </w:rPr>
  </w:style>
  <w:style w:type="paragraph" w:styleId="P5">
    <w:name w:val="Body Text 2"/>
    <w:basedOn w:val="P0"/>
    <w:next w:val="P5"/>
    <w:pPr>
      <w:jc w:val="both"/>
    </w:pPr>
    <w:rPr>
      <w:b w:val="1"/>
      <w:bCs w:val="1"/>
      <w:sz w:val="24"/>
      <w:szCs w:val="24"/>
    </w:rPr>
  </w:style>
  <w:style w:type="paragraph" w:styleId="P6">
    <w:name w:val="Body Text 3"/>
    <w:basedOn w:val="P0"/>
    <w:next w:val="P6"/>
    <w:pPr>
      <w:jc w:val="center"/>
    </w:pPr>
    <w:rPr>
      <w:sz w:val="24"/>
      <w:szCs w:val="24"/>
    </w:rPr>
  </w:style>
  <w:style w:type="paragraph" w:styleId="P7">
    <w:name w:val="Header"/>
    <w:basedOn w:val="P0"/>
    <w:next w:val="P7"/>
    <w:pPr>
      <w:tabs>
        <w:tab w:val="center" w:pos="4419" w:leader="none"/>
        <w:tab w:val="right" w:pos="8838" w:leader="none"/>
      </w:tabs>
    </w:pPr>
    <w:rPr/>
  </w:style>
  <w:style w:type="paragraph" w:styleId="P8">
    <w:name w:val="Body Text Indent"/>
    <w:basedOn w:val="P0"/>
    <w:next w:val="P8"/>
    <w:pPr>
      <w:ind w:left="709"/>
      <w:jc w:val="both"/>
    </w:pPr>
    <w:rPr>
      <w:rFonts w:ascii="Courier New" w:hAnsi="Courier New"/>
      <w:sz w:val="24"/>
      <w:szCs w:val="24"/>
    </w:rPr>
  </w:style>
  <w:style w:type="paragraph" w:styleId="P9">
    <w:name w:val="Body Text Indent 2"/>
    <w:basedOn w:val="P0"/>
    <w:next w:val="P9"/>
    <w:pPr>
      <w:ind w:left="705"/>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2026-07-09T19:31:51Z</dcterms:created>
  <cp:lastModifiedBy>Federico Parisi</cp:lastModifiedBy>
  <cp:lastPrinted>2004-07-13T13:15:00Z</cp:lastPrinted>
  <dcterms:modified xsi:type="dcterms:W3CDTF">2026-07-09T19:31:51Z</dcterms:modified>
  <cp:revision>2</cp:revision>
  <dc:title>PROYECTO DE ORDENANZA</dc:title>
</cp:coreProperties>
</file>